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BOA (Brandenburg) — Gleisfahrzeugwaagen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Trag- und Wägefähigkeit und die Brückenlänge</w:t>
      </w:r>
    </w:p>
    <w:p>
      <w:r>
        <w:t xml:space="preserve">neuer Gleisfahrzeugwaagen müssen</w:t>
      </w:r>
    </w:p>
    <w:p>
      <w:r>
        <w:t xml:space="preserve">in der Regel dem staatlichen Standard</w:t>
      </w:r>
    </w:p>
    <w:p>
      <w:r>
        <w:t xml:space="preserve">"Waagen; Gleisfahrzeugwaagen; Spurweite 1435 mm; Arten,</w:t>
      </w:r>
    </w:p>
    <w:p>
      <w:r>
        <w:t xml:space="preserve">Hauptkennwerte" (TGL 9167)</w:t>
      </w:r>
    </w:p>
    <w:p>
      <w:r>
        <w:t xml:space="preserve">den in der jeweiligen Anschlußbahn zu</w:t>
      </w:r>
    </w:p>
    <w:p>
      <w:r>
        <w:t xml:space="preserve">verwiegenden Wagen</w:t>
      </w:r>
    </w:p>
    <w:p>
      <w:r>
        <w:t xml:space="preserve">entsprechen.</w:t>
      </w:r>
    </w:p>
    <w:p>
      <w:r>
        <w:t xml:space="preserve">(2) An Gleisfahrzeugbrückenwaagen müssen sich beiderseits gerade,</w:t>
      </w:r>
    </w:p>
    <w:p>
      <w:r>
        <w:t xml:space="preserve">stoßfreie und in der Regel horizontale Gleisstücke</w:t>
      </w:r>
    </w:p>
    <w:p>
      <w:r>
        <w:t xml:space="preserve">anschließen, die mindestens der Brückenlänge entsprechen.</w:t>
      </w:r>
    </w:p>
    <w:p>
      <w:r>
        <w:t xml:space="preserve">Gleisfahrzeugwaagen ohne Entlastungseinrichtungen müssen</w:t>
      </w:r>
    </w:p>
    <w:p>
      <w:r>
        <w:t xml:space="preserve">Spaltüberbrückungen an den Fahrschienen haben, die stoßhemmend</w:t>
      </w:r>
    </w:p>
    <w:p>
      <w:r>
        <w:t xml:space="preserve">beim Auffahren auf die Waagenbrücke wirken. Für andere Bauarten</w:t>
      </w:r>
    </w:p>
    <w:p>
      <w:r>
        <w:t xml:space="preserve">können besondere Festlegungen durch die Staatliche Bahnaufsicht getroffen</w:t>
      </w:r>
    </w:p>
    <w:p>
      <w:r>
        <w:t xml:space="preserve">werden.</w:t>
      </w:r>
    </w:p>
    <w:p>
      <w:r>
        <w:t xml:space="preserve">(3) Gleisfahrzeugwaagen mit Entlastung müssen mit Signal Gsp 0</w:t>
      </w:r>
    </w:p>
    <w:p>
      <w:r>
        <w:t xml:space="preserve">gemäß Signalbuch ausgerüstet sein, das mit der</w:t>
      </w:r>
    </w:p>
    <w:p>
      <w:r>
        <w:t xml:space="preserve">Entlastungsvorrichtung zwangsläufig verbunden sein muß.</w:t>
      </w:r>
    </w:p>
    <w:p>
      <w:r>
        <w:t xml:space="preserve">(4) Für den Gebrauch, das Eichen und das Instandhalten gelten die</w:t>
      </w:r>
    </w:p>
    <w:p>
      <w:r>
        <w:t xml:space="preserve">Vorschriften des Amtes für Standardisierung, Meßwesen und</w:t>
      </w:r>
    </w:p>
    <w:p>
      <w:r>
        <w:t xml:space="preserve">Warenprüfung (ASMW). Ergänzend hierzu sind die Bau- und</w:t>
      </w:r>
    </w:p>
    <w:p>
      <w:r>
        <w:t xml:space="preserve">Montagevorschriften sowie die Betriebsanweisungen des Herstellers und die</w:t>
      </w:r>
    </w:p>
    <w:p>
      <w:r>
        <w:t xml:space="preserve">allgemeinen Forderungen der Dienstvorschrift für die Eichung, den Gebrauch</w:t>
      </w:r>
    </w:p>
    <w:p>
      <w:r>
        <w:t xml:space="preserve">und die Instandhaltung von Waagen (Dienstvorschrift 932 der Deutschen</w:t>
      </w:r>
    </w:p>
    <w:p>
      <w:r>
        <w:t xml:space="preserve">Reichsbahn) anzuwenden.</w:t>
      </w:r>
    </w:p>
    <w:p>
      <w:r>
        <w:rPr>
          <w:color w:val="555555"/>
          <w:sz w:val="17"/>
        </w:rPr>
        <w:t xml:space="preserve">Zitiervorschlag: § 33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https://recht.nulegal.eu/gesetze/BOA/33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