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BOA (Brandenburg) — Seilrangieranlagen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den Bau von Seilrangieranlagen gilt die Anweisung Nr. 6 zur BOA</w:t>
      </w:r>
    </w:p>
    <w:p>
      <w:r>
        <w:t xml:space="preserve">- Bau von Seilrangieranlagen -.</w:t>
      </w:r>
    </w:p>
    <w:p>
      <w:r>
        <w:t xml:space="preserve">(2) Neue Seilrangieranlagen sind in der Regel nur für Gleisneigungen</w:t>
      </w:r>
    </w:p>
    <w:p>
      <w:r>
        <w:t xml:space="preserve">≤1,5 ‰ (1:667) zulässig. In größeren Gleisneigungen</w:t>
      </w:r>
    </w:p>
    <w:p>
      <w:r>
        <w:t xml:space="preserve">sind Seilrangieranlagen nur dann zulässig, wenn diese in der Lage sind,</w:t>
      </w:r>
    </w:p>
    <w:p>
      <w:r>
        <w:t xml:space="preserve">die Anhängemasse jederzeit mit Sicherheit abzubremsen.</w:t>
      </w:r>
    </w:p>
    <w:p>
      <w:r>
        <w:t xml:space="preserve">(3) Seilrangieranlagen mit endlichem Seil, bei denen das Seil in mehreren</w:t>
      </w:r>
    </w:p>
    <w:p>
      <w:r>
        <w:t xml:space="preserve">Windungen um einen kraftbetriebenen Spillkopf gelegt und das ablaufende</w:t>
      </w:r>
    </w:p>
    <w:p>
      <w:r>
        <w:t xml:space="preserve">Seilende von Hand geführt werden muß, dürfen in</w:t>
      </w:r>
    </w:p>
    <w:p>
      <w:r>
        <w:t xml:space="preserve">Anschlußbahnen zum Bewegen von Wagen nicht verwendet werden.</w:t>
      </w:r>
    </w:p>
    <w:p>
      <w:r>
        <w:t xml:space="preserve">(4) Für das Rangieren mit Seilrangieranlagen gilt die Anweisung Nr. 25</w:t>
      </w:r>
    </w:p>
    <w:p>
      <w:r>
        <w:t xml:space="preserve">zur BOA - Rangieren mit sonstigen Rangiermitteln -.</w:t>
      </w:r>
    </w:p>
    <w:p>
      <w:r>
        <w:rPr>
          <w:color w:val="555555"/>
          <w:sz w:val="17"/>
        </w:rPr>
        <w:t xml:space="preserve">Zitiervorschlag: § 32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