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BOA (Brandenburg) — Arbeitsgruben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Ausführung und die Abmessung müssen dem staatlichen</w:t>
      </w:r>
    </w:p>
    <w:p>
      <w:r>
        <w:t xml:space="preserve">Standard Arbeitsgruben für Fahrzeuge, bautechnische und</w:t>
      </w:r>
    </w:p>
    <w:p>
      <w:r>
        <w:t xml:space="preserve">brandschutztechnische Forderungen (TGL 7461) entsprechen.</w:t>
      </w:r>
    </w:p>
    <w:p>
      <w:r>
        <w:t xml:space="preserve">(2) Die Schienen sind auf der Arbeitsgrube lückenlos zu verlegen. Vom</w:t>
      </w:r>
    </w:p>
    <w:p>
      <w:r>
        <w:t xml:space="preserve">Ende der Arbeitsgrube müssen Schienenstöße mindestens 5 m</w:t>
      </w:r>
    </w:p>
    <w:p>
      <w:r>
        <w:t xml:space="preserve">entfernt sein.</w:t>
      </w:r>
    </w:p>
    <w:p>
      <w:r>
        <w:rPr>
          <w:color w:val="555555"/>
          <w:sz w:val="17"/>
        </w:rPr>
        <w:t xml:space="preserve">Zitiervorschlag: § 25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