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BOA (Brandenburg) — Kilometerzeichen, Neigungszeiger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An den Streckengleisen und Zuführungsgleisen über 1000 m</w:t>
      </w:r>
    </w:p>
    <w:p>
      <w:r>
        <w:t xml:space="preserve">Länge sind in der Regel Kilometerzeichen nach dem staatlichen Standard</w:t>
      </w:r>
    </w:p>
    <w:p>
      <w:r>
        <w:t xml:space="preserve">Kilometerzeichen aus Tafeln für Eisenbahnen (TGL 35999/01) aufzustellen.</w:t>
      </w:r>
    </w:p>
    <w:p>
      <w:r>
        <w:t xml:space="preserve">(2) Bei Neigungen &gt;10 ‰ (1:100) sind an den</w:t>
      </w:r>
    </w:p>
    <w:p>
      <w:r>
        <w:t xml:space="preserve">Gefällwechselpunkten bei Strecken- und Zuführungsgleisen</w:t>
      </w:r>
    </w:p>
    <w:p>
      <w:r>
        <w:t xml:space="preserve">Neigungszeiger aufzustellen.</w:t>
      </w:r>
    </w:p>
    <w:p>
      <w:r>
        <w:rPr>
          <w:color w:val="555555"/>
          <w:sz w:val="17"/>
        </w:rPr>
        <w:t xml:space="preserve">Zitiervorschlag: § 20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