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BOA (Brandenburg) — Brücken und andere Ingenieurbauwerke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Brücken und die anderen Ingenieurbauwerke ist</w:t>
      </w:r>
    </w:p>
    <w:p>
      <w:r>
        <w:t xml:space="preserve">der Lastenzug DR entsprechend der</w:t>
      </w:r>
    </w:p>
    <w:p>
      <w:r>
        <w:t xml:space="preserve">Dienstvorschrift für die Berechnung stählerner Eisenbahnbrücken</w:t>
      </w:r>
    </w:p>
    <w:p>
      <w:r>
        <w:t xml:space="preserve">(BE) (Dienstvorschritt 804 der Deutschen Reichsbahn)</w:t>
      </w:r>
    </w:p>
    <w:p>
      <w:r>
        <w:t xml:space="preserve">eine Tragfähigkeit, die den Verkehrslasten</w:t>
      </w:r>
    </w:p>
    <w:p>
      <w:r>
        <w:t xml:space="preserve">und den Fahrgeschwindigkeiten der zuführenden Strecke der Deutschen</w:t>
      </w:r>
    </w:p>
    <w:p>
      <w:r>
        <w:t xml:space="preserve">Reichsbahn entspricht,</w:t>
      </w:r>
    </w:p>
    <w:p>
      <w:r>
        <w:t xml:space="preserve">verbindlich.</w:t>
      </w:r>
    </w:p>
    <w:p>
      <w:r>
        <w:t xml:space="preserve">(2) Der Lastenzug 0,8 DR ist bei Neubauten bei denen</w:t>
      </w:r>
    </w:p>
    <w:p>
      <w:r>
        <w:t xml:space="preserve">nachweisbar keine höheren Lasten auftreten können, anzuwenden. Bei</w:t>
      </w:r>
    </w:p>
    <w:p>
      <w:r>
        <w:t xml:space="preserve">der Nachrechnung bestehender Bauwerke ist deren Tragfähigkeit auf den</w:t>
      </w:r>
    </w:p>
    <w:p>
      <w:r>
        <w:t xml:space="preserve">Lastenzug DR bezogen auszudrücken.</w:t>
      </w:r>
    </w:p>
    <w:p>
      <w:r>
        <w:rPr>
          <w:color w:val="555555"/>
          <w:sz w:val="17"/>
        </w:rPr>
        <w:t xml:space="preserve">Zitiervorschlag: § 19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