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BOA (Brandenburg) — Kreuzungen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Kreuzungen in gleicher Ebene zwischen Anschlußbahnen und Bahnen</w:t>
      </w:r>
    </w:p>
    <w:p>
      <w:r>
        <w:t xml:space="preserve">des öffentlichen Verkehrs sind nicht herzustellen.</w:t>
      </w:r>
    </w:p>
    <w:p>
      <w:r>
        <w:t xml:space="preserve">(2) Für bestehende Kreuzungen können zur Erhöhung der</w:t>
      </w:r>
    </w:p>
    <w:p>
      <w:r>
        <w:t xml:space="preserve">Betriebssicherheit von der Staatlichen Bahnaufsicht unter Mitwirkung der</w:t>
      </w:r>
    </w:p>
    <w:p>
      <w:r>
        <w:t xml:space="preserve">zuständigen Aufsichtsorgane Auflagen zur Veränderung erteilt werden.</w:t>
      </w:r>
    </w:p>
    <w:p>
      <w:r>
        <w:rPr>
          <w:color w:val="555555"/>
          <w:sz w:val="17"/>
        </w:rPr>
        <w:t xml:space="preserve">Zitiervorschlag: § 18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