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BOA (Brandenburg) — Bogengestaltung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Neubauten, Erweiterungen, Rekonstruktionen und Umbauten von</w:t>
      </w:r>
    </w:p>
    <w:p>
      <w:r>
        <w:t xml:space="preserve">Gleisanlagen sind Bogen mit einem Halbmesser</w:t>
      </w:r>
    </w:p>
    <w:p>
      <w:r>
        <w:t xml:space="preserve">R ≥ 180 m</w:t>
      </w:r>
    </w:p>
    <w:p>
      <w:r>
        <w:t xml:space="preserve">R ≥ 50 m bei 1000 mm Spurweite</w:t>
      </w:r>
    </w:p>
    <w:p>
      <w:r>
        <w:t xml:space="preserve">R ≥ 40 m bei 750 mm Spurweite</w:t>
      </w:r>
    </w:p>
    <w:p>
      <w:r>
        <w:t xml:space="preserve">herzustellen.</w:t>
      </w:r>
    </w:p>
    <w:p>
      <w:r>
        <w:t xml:space="preserve">(2) Aus nachzuweisenden technischen und ökonomischen Gründen</w:t>
      </w:r>
    </w:p>
    <w:p>
      <w:r>
        <w:t xml:space="preserve">können bei Erweiterungen von Gleisanlagen Bogen mit einem Halbmesser von</w:t>
      </w:r>
    </w:p>
    <w:p>
      <w:r>
        <w:t xml:space="preserve">R ≥ 150 m</w:t>
      </w:r>
    </w:p>
    <w:p>
      <w:r>
        <w:t xml:space="preserve">und bei Rekonstruktionen sowie Umbau von untergeordneten Gleisen, die von</w:t>
      </w:r>
    </w:p>
    <w:p>
      <w:r>
        <w:t xml:space="preserve">Fahrzeugen mit der entsprechenden Bogenläufigkeit befahren werden, Bogen</w:t>
      </w:r>
    </w:p>
    <w:p>
      <w:r>
        <w:t xml:space="preserve">mit einem Halbmesser von</w:t>
      </w:r>
    </w:p>
    <w:p>
      <w:r>
        <w:t xml:space="preserve">R ≤ 110 m</w:t>
      </w:r>
    </w:p>
    <w:p>
      <w:r>
        <w:t xml:space="preserve">hergestellt oder beibehalten werden.</w:t>
      </w:r>
    </w:p>
    <w:p>
      <w:r>
        <w:rPr>
          <w:color w:val="555555"/>
          <w:sz w:val="17"/>
        </w:rPr>
        <w:t xml:space="preserve">Zitiervorschlag: § 15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