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BOA (Brandenburg) — Unterbau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den Unterbau neuer Gleisanlagen und für wesentliche</w:t>
      </w:r>
    </w:p>
    <w:p>
      <w:r>
        <w:t xml:space="preserve">Veränderungen von bestehenden Gleisanlagen gilt der staatliche Standard</w:t>
      </w:r>
    </w:p>
    <w:p>
      <w:r>
        <w:t xml:space="preserve">"Eisenbahnunterbau" (TGL 24756/01 bis /13).</w:t>
      </w:r>
    </w:p>
    <w:p>
      <w:r>
        <w:rPr>
          <w:color w:val="555555"/>
          <w:sz w:val="17"/>
        </w:rPr>
        <w:t xml:space="preserve">Zitiervorschlag: § 11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