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BOA (Brandenburg) — Mitwirkung des Anschlußbahnleiters, Gültigkeit der Zustimmungen und Genehmigungen, Regelung der Verfahrensweise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Allen Anträgen auf Erteilung von Stellungnahmen, Zustimmungen und</w:t>
      </w:r>
    </w:p>
    <w:p>
      <w:r>
        <w:t xml:space="preserve">Genehmigungen sowie auf die Durchführung von Prüfungen durch die</w:t>
      </w:r>
    </w:p>
    <w:p>
      <w:r>
        <w:t xml:space="preserve">Staatliche Bahnaufsicht ist die Stellungnahme des Anschlußbahnleiters</w:t>
      </w:r>
    </w:p>
    <w:p>
      <w:r>
        <w:t xml:space="preserve">beizufügen; bei Anschlußbahngemeinschaften die Stellungnahme des</w:t>
      </w:r>
    </w:p>
    <w:p>
      <w:r>
        <w:t xml:space="preserve">Anschlußbahnleiters des Betriebes, dem die Betriebsführung für</w:t>
      </w:r>
    </w:p>
    <w:p>
      <w:r>
        <w:t xml:space="preserve">den Komplex obliegt.</w:t>
      </w:r>
    </w:p>
    <w:p>
      <w:r>
        <w:t xml:space="preserve">(2) Stellungnahmen, Zustimmungen und Genehmigungen der Staatlichen</w:t>
      </w:r>
    </w:p>
    <w:p>
      <w:r>
        <w:t xml:space="preserve">Bahnaufsicht gemäß den §§ 5 und 6 haben eine</w:t>
      </w:r>
    </w:p>
    <w:p>
      <w:r>
        <w:t xml:space="preserve">Gültigkeit von 3 Jahren. Die übrigen Genehmigungen sind unbefristet,</w:t>
      </w:r>
    </w:p>
    <w:p>
      <w:r>
        <w:t xml:space="preserve">soweit darin keine Frist ausgesprochen ist.</w:t>
      </w:r>
    </w:p>
    <w:p>
      <w:r>
        <w:t xml:space="preserve">(3) Die Verfahrensweise zu den §§ 5, 6 und 7 ist in der Anweisung</w:t>
      </w:r>
    </w:p>
    <w:p>
      <w:r>
        <w:t xml:space="preserve">Nr. 1 zur BOA - Zustimmungs- und Genehmigungsverfahren - geregelt.</w:t>
      </w:r>
    </w:p>
    <w:p>
      <w:r>
        <w:rPr>
          <w:color w:val="555555"/>
          <w:sz w:val="17"/>
        </w:rPr>
        <w:t xml:space="preserve">Zitiervorschlag: § 10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