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BOA (Brandenburg) — Geltungsbereich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 Anordnung sowie die dazugehörigen Anweisungen gelten für</w:t>
      </w:r>
    </w:p>
    <w:p>
      <w:r>
        <w:t xml:space="preserve">Anschlußbahnen und die in den Absätzen 3 und 4 genannten Bahnen.</w:t>
      </w:r>
    </w:p>
    <w:p>
      <w:r>
        <w:t xml:space="preserve">Für Anschlußbahnen der bewaffneten Organe erläßt der</w:t>
      </w:r>
    </w:p>
    <w:p>
      <w:r>
        <w:t xml:space="preserve">Minister für Verkehrswesen im Einvernehmen mit den Leitern der</w:t>
      </w:r>
    </w:p>
    <w:p>
      <w:r>
        <w:t xml:space="preserve">zuständigen zentralen Staatsorgane, soweit erforderlich, ergänzende</w:t>
      </w:r>
    </w:p>
    <w:p>
      <w:r>
        <w:t xml:space="preserve">Bestimmungen. Diese Bestimmungen werden der Staatlichen Bahnaufsicht durch den</w:t>
      </w:r>
    </w:p>
    <w:p>
      <w:r>
        <w:t xml:space="preserve">Minister für Verkehrswesen und den Verantwortlichen der</w:t>
      </w:r>
    </w:p>
    <w:p>
      <w:r>
        <w:t xml:space="preserve">Anschlußbahnen der bewaffneten Organe durch ihre übergeordneten</w:t>
      </w:r>
    </w:p>
    <w:p>
      <w:r>
        <w:t xml:space="preserve">Leiter bekanntgegeben.</w:t>
      </w:r>
    </w:p>
    <w:p>
      <w:r>
        <w:t xml:space="preserve">(2) Bahnen von Kombinaten, Betrieben und Einrichtungen (nachstehend Betriebe</w:t>
      </w:r>
    </w:p>
    <w:p>
      <w:r>
        <w:t xml:space="preserve">genannt), auf die Schienenfahrzeuge des öffentlichen Verkehrs nur mit</w:t>
      </w:r>
    </w:p>
    <w:p>
      <w:r>
        <w:t xml:space="preserve">Straßenrollfahrzeugen überführt werden können, sind keine</w:t>
      </w:r>
    </w:p>
    <w:p>
      <w:r>
        <w:t xml:space="preserve">Anschlußbahnen. Für den Bau und die Instandhaltung der Bahnanlagen</w:t>
      </w:r>
    </w:p>
    <w:p>
      <w:r>
        <w:t xml:space="preserve">dieser Bahnen sind jedoch die Bestimmungen dieser Anordnung anzuwenden.</w:t>
      </w:r>
    </w:p>
    <w:p>
      <w:r>
        <w:t xml:space="preserve">(3) Bahnen der Dienststellen der Deutschen Reichsbahn, für die diese</w:t>
      </w:r>
    </w:p>
    <w:p>
      <w:r>
        <w:t xml:space="preserve">Anordnung anzuwenden ist, werden vom Minister für Verkehrswesen besonders</w:t>
      </w:r>
    </w:p>
    <w:p>
      <w:r>
        <w:t xml:space="preserve">festgelegt.</w:t>
      </w:r>
    </w:p>
    <w:p>
      <w:r>
        <w:t xml:space="preserve">(4) In Sonderfällen entscheidet die Staatliche Bahnaufsicht über</w:t>
      </w:r>
    </w:p>
    <w:p>
      <w:r>
        <w:t xml:space="preserve">den Charakter der Bahn.</w:t>
      </w:r>
    </w:p>
    <w:p>
      <w:r>
        <w:t xml:space="preserve">(5) Die in der vollen Breite einer Seite gedruckten Bestimmungen gelten</w:t>
      </w:r>
    </w:p>
    <w:p>
      <w:r>
        <w:t xml:space="preserve">für Anschlußbahnen mit Spurweiten von 1435 mm, 1000 mm und 750 mm.</w:t>
      </w:r>
    </w:p>
    <w:p>
      <w:r>
        <w:t xml:space="preserve">Für andere als die hier aufgeführten Spurweiten legt die Staatliche</w:t>
      </w:r>
    </w:p>
    <w:p>
      <w:r>
        <w:t xml:space="preserve">Bahnaufsicht die anzuwendenden Bestimmungen fest.</w:t>
      </w:r>
    </w:p>
    <w:p>
      <w:r>
        <w:t xml:space="preserve">(6) Die auf der linken Hälfte einer Seite</w:t>
      </w:r>
    </w:p>
    <w:p>
      <w:r>
        <w:t xml:space="preserve">gedruckten Bestimmungen gelten nur für Normalspurbahnen (1435 mm</w:t>
      </w:r>
    </w:p>
    <w:p>
      <w:r>
        <w:t xml:space="preserve">Spurweite).</w:t>
      </w:r>
    </w:p>
    <w:p>
      <w:r>
        <w:t xml:space="preserve">Die auf der rechten Hälfte einer Seite</w:t>
      </w:r>
    </w:p>
    <w:p>
      <w:r>
        <w:t xml:space="preserve">gedruckten Bestimmungen gelten nur für Schmalspurbahnen (1000 mm und 750</w:t>
      </w:r>
    </w:p>
    <w:p>
      <w:r>
        <w:t xml:space="preserve">mm Spurweite).</w:t>
      </w:r>
    </w:p>
    <w:p>
      <w:r>
        <w:rPr>
          <w:color w:val="555555"/>
          <w:sz w:val="17"/>
        </w:rPr>
        <w:t xml:space="preserve">Zitiervorschlag: § 1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