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BNotOAVO (Sachsen)</w:t>
      </w:r>
    </w:p>
    <w:p>
      <w:r>
        <w:rPr>
          <w:color w:val="555555"/>
          <w:sz w:val="18"/>
        </w:rPr>
        <w:t xml:space="preserve">Verordnung der Sächsischen Staatsregierung und des Sächsischen Staatsministeriums der Justiz und für Demokratie, Europa und Gleichstellung zur Ausführung der Bundesnotarordnung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Inhaltsübersicht</w:t>
      </w:r>
    </w:p>
    <w:p>
      <w:r>
        <w:t xml:space="preserve">§ 1 Ziel des Anwärterdienstes</w:t>
      </w:r>
    </w:p>
    <w:p>
      <w:r>
        <w:t xml:space="preserve">§ 2 Inhalt der Ausbildung</w:t>
      </w:r>
    </w:p>
    <w:p>
      <w:r>
        <w:t xml:space="preserve">§ 3 Durchführung der Ausbildung</w:t>
      </w:r>
    </w:p>
    <w:p>
      <w:r>
        <w:t xml:space="preserve">§ 4 Anrechnungszeiten</w:t>
      </w:r>
    </w:p>
    <w:p>
      <w:r>
        <w:t xml:space="preserve">§ 5 Dienstunfähigkeit</w:t>
      </w:r>
    </w:p>
    <w:p>
      <w:r>
        <w:t xml:space="preserve">§ 6 Urlaub</w:t>
      </w:r>
    </w:p>
    <w:p>
      <w:r>
        <w:t xml:space="preserve">§ 6a Elternzeit, Teilzeitbeschäftigung und Beurlaubung aus familiären Gründen</w:t>
      </w:r>
    </w:p>
    <w:p>
      <w:r>
        <w:t xml:space="preserve">§ 7 Beurteilung</w:t>
      </w:r>
    </w:p>
    <w:p>
      <w:r>
        <w:t xml:space="preserve">Zweiter Abschnitt</w:t>
      </w:r>
    </w:p>
    <w:p>
      <w:r>
        <w:t xml:space="preserve">Die Angelegenheiten der Notare</w:t>
      </w:r>
    </w:p>
    <w:p>
      <w:r>
        <w:t xml:space="preserve">§ 8 Anrechnungszeiten vorübergehender Amtsniederlegung bei erneuter Bewerbung um eine Notarstelle</w:t>
      </w:r>
    </w:p>
    <w:p>
      <w:r>
        <w:t xml:space="preserve">§ 9 Gemeinsame Berufsausübung durch Notare</w:t>
      </w:r>
    </w:p>
    <w:p>
      <w:r>
        <w:t xml:space="preserve">§ 10 Beschäftigung von Mitarbeitern</w:t>
      </w:r>
    </w:p>
    <w:p>
      <w:r>
        <w:t xml:space="preserve">Dritter Abschnitt</w:t>
      </w:r>
    </w:p>
    <w:p>
      <w:r>
        <w:t xml:space="preserve">Zuständigkeits-, Übergangs- und Schlussbestimmungen</w:t>
      </w:r>
    </w:p>
    <w:p>
      <w:r>
        <w:t xml:space="preserve">§ 11 Übertragung von Aufgaben und Befugnissen der Landesjustizverwaltung</w:t>
      </w:r>
    </w:p>
    <w:p>
      <w:r>
        <w:t xml:space="preserve">§ 12 Zuständigkeit der Aufsichtsbehörden</w:t>
      </w:r>
    </w:p>
    <w:p>
      <w:r>
        <w:t xml:space="preserve">§ 13 (aufgehoben)</w:t>
      </w:r>
    </w:p>
    <w:p>
      <w:r>
        <w:t xml:space="preserve">§ 14 Inkrafttreten und Außerkrafttreten</w:t>
      </w:r>
    </w:p>
    <w:p>
      <w:r>
        <w:rPr>
          <w:color w:val="555555"/>
          <w:sz w:val="17"/>
        </w:rPr>
        <w:t xml:space="preserve">Zitiervorschlag: Eingangsformel BNotOAVO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https://recht.nulegal.eu/gesetze/BNotOAVO/eingangsformel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