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BNotOAVO (Sachsen) — Anrechnungszeiten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Dauer des Anwärterdienstes werden angerechnet:</w:t>
      </w:r>
    </w:p>
    <w:p>
      <w:r>
        <w:t xml:space="preserve">1. Wehr- und Ersatzdienstzeiten bis zu der für den Bewerber bei Antritt dieses Dienstes maßgeblichen gesetzlichen Dauer des Grundwehrdienstes,</w:t>
      </w:r>
    </w:p>
    <w:p>
      <w:r>
        <w:t xml:space="preserve">2. Zeiten eines Beschäftigungsverbotes nach Mutterschutzvorschriften während des Anwärterdienstes,</w:t>
      </w:r>
    </w:p>
    <w:p>
      <w:r>
        <w:t xml:space="preserve">3. Elternzeiten während des Anwärterdienstes bis zu einer Dauer von einem Jahr für jedes betreute Kind, bei mehrfacher Inanspruchnahme insgesamt höchstens zwei Jahre; dies gilt unabhängig davon, ob während der Elternzeit eine Teilzeitbeschäftigung ausgeübt wird,</w:t>
      </w:r>
    </w:p>
    <w:p>
      <w:r>
        <w:t xml:space="preserve">4. Dienstunterbrechungen infolge Dienstunfähigkeit wegen Krankheit bis zu 30 Tagen jährlich, es sei denn, der Nachweis nach § 5 Absatz 2 wurde nicht erbracht,</w:t>
      </w:r>
    </w:p>
    <w:p>
      <w:r>
        <w:t xml:space="preserve">5. Urlaubszeiten, die nicht Erholungsurlaub sind, bis zu 14 Tagen jährlich.</w:t>
      </w:r>
    </w:p>
    <w:p>
      <w:r>
        <w:t xml:space="preserve">In den Fällen des Satzes 1 Nummer 4 und 5 entscheidet der Präsident der Notarkammer über eine weitergehende Anrechnung. In den Fällen des Satzes 1 Nummer 4 entscheidet er unter Berücksichtigung von Art und Dauer der Krankheit im Rahmen der Beurteilung gemäß § 7 oder auf Antrag des Notarassessors, wobei der Antrag frühestens nach Ablauf des dreijährigen Anwärterdienstes gestellt werden kann.</w:t>
      </w:r>
    </w:p>
    <w:p>
      <w:r>
        <w:t xml:space="preserve">(2) Voraussetzung für die Anrechnung ist, dass der Bewerber bei Ablauf der Bewerbungsfrist um eine ausgeschriebene Notarstelle ohne bereits erfolgte Anrechnungen nach Absatz 1 Satz 1 Nummer 1 bis 3 und 5 mindestens drei Jahre Anwärterdienst geleistet hat und nach Ablauf dieser Zeit mit der abschließenden Feststellung „für die Bestellung zum Notar geeignet“ beurteilt worden ist.</w:t>
      </w:r>
    </w:p>
    <w:p>
      <w:r>
        <w:rPr>
          <w:color w:val="555555"/>
          <w:sz w:val="17"/>
        </w:rPr>
        <w:t xml:space="preserve">Zitiervorschlag: § 4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