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EV BNotO — Auszug aus EinigVtr Anlage I Kapitel III Sachgebiet A Abschnitte I und IV (BGBl. II 1990, 889, 921, 938) Abschnitt I - Vom Inkrafttreten im beigetretenen Gebiet ausgenommene Vorschriften - Abschnitt IV - Sonderregelung für das Land Berlin -</w:t>
      </w:r>
    </w:p>
    <w:p>
      <w:r>
        <w:rPr>
          <w:color w:val="555555"/>
          <w:sz w:val="18"/>
        </w:rPr>
        <w:t xml:space="preserve">Bundesnotarordnung</w:t>
      </w:r>
    </w:p>
    <w:p>
      <w:r>
        <w:rPr>
          <w:color w:val="555555"/>
          <w:sz w:val="18"/>
        </w:rPr>
        <w:t xml:space="preserve">Stand: 10.06.2019 (konsolidierte Textfassung, kein amtliches Inkrafttretensdatum)</w:t>
      </w:r>
    </w:p>
    <w:p>
      <w:r>
        <w:t xml:space="preserve">Abschnitt I Von dem Inkrafttreten des Bundesrechts gemäß Artikel 8 des Vertrages sind, vorbehaltlich der Sonderregelung für das Land Berlin in Abschnitt IV, ausgenommen: ...</w:t>
      </w:r>
    </w:p>
    <w:p>
      <w:pPr>
        <w:ind w:left="420"/>
      </w:pPr>
      <w:r>
        <w:t xml:space="preserve">8. Bundesnotarordnung in der im Bundesgesetzblatt Teil III, Gliederungsnummer 303-1, veröffentlichten bereinigten Fassung, zuletzt geändert durch Artikel 1 des Gesetzes vom 7. August 1981 (BGBl. I S. 803).</w:t>
      </w:r>
    </w:p>
    <w:p>
      <w:r>
        <w:t xml:space="preserve">...Abschnitt IV ...</w:t>
      </w:r>
    </w:p>
    <w:p>
      <w:pPr>
        <w:ind w:left="420"/>
      </w:pPr>
      <w:r>
        <w:t xml:space="preserve">1. Folgende Rechtsvorschriften gelten abweichend von Abschnitt I auch in dem beigetretenen Teil des Landes Berlin:</w:t>
      </w:r>
    </w:p>
    <w:p>
      <w:pPr>
        <w:ind w:left="780"/>
      </w:pPr>
      <w:r>
        <w:t xml:space="preserve">b) Bundesnotarordnung in der im Bundesgesetzblatt Teil III, Gliederungsnummer 303-1, veröffentlichten bereinigten Fassung, zuletzt geändert durch Artikel 1 des Gesetzes vom 7. August 1981 (BGBl. I S. 803),mit folgender Maßgabe:In dem Teil des Landes Berlin, in dem das Grundgesetz bisher nicht galt, werden ausschließlich Rechtsanwälte für die Dauer ihrer Zulassung bei einem Gericht als Notare zu gleichzeitiger Amtsausübung neben dem Beruf des Rechtsanwalts bestellt.Rechtsanwälte, die am Tag des Wirksamwerdens des Beitritts in dem Teil des Landes Berlin zu Anwaltsnotaren in eigener Praxis bestellt sind, werden nach ihrer Zulassung bei einem Gericht in Berlin, in dem das Grundgesetz bisher nicht galt, zu Anwaltsnotaren nach der Bundesnotarordnung bestellt. Sie gehören der Notarkammer Berlin an.</w:t>
      </w:r>
    </w:p>
    <w:p>
      <w:r>
        <w:t xml:space="preserve">...</w:t>
      </w:r>
    </w:p>
    <w:p>
      <w:r>
        <w:rPr>
          <w:color w:val="555555"/>
          <w:sz w:val="17"/>
        </w:rPr>
        <w:t xml:space="preserve">Zitiervorschlag: Anhang EV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https://recht.nulegal.eu/gesetze/BNotO/anhang-ev</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