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95a BNotO — Verjährung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Verfolgung eines Dienstvergehens verjährt nach fünf Jahren. Abweichend davon</w:t>
      </w:r>
    </w:p>
    <w:p>
      <w:pPr>
        <w:ind w:left="420"/>
      </w:pPr>
      <w:r>
        <w:t xml:space="preserve">1. beträgt die Verjährungsfrist zehn Jahre, wenn das Dienstvergehen eine Maßnahme nach § 97 Absatz 2 Satz 1 oder Absatz 3 Satz 1 rechtfertigt,</w:t>
      </w:r>
    </w:p>
    <w:p>
      <w:pPr>
        <w:ind w:left="420"/>
      </w:pPr>
      <w:r>
        <w:t xml:space="preserve">2. tritt keine Verjährung ein, wenn das Dienstvergehen eine Maßnahme nach § 97 Absatz 1 Nummer 3 rechtfertigt.</w:t>
      </w:r>
    </w:p>
    <w:p>
      <w:r>
        <w:t xml:space="preserve">(2) Die Verjährung wird gehemmt für die Dauer</w:t>
      </w:r>
    </w:p>
    <w:p>
      <w:pPr>
        <w:ind w:left="420"/>
      </w:pPr>
      <w:r>
        <w:t xml:space="preserve">1. eines Widerspruchsverfahrens,</w:t>
      </w:r>
    </w:p>
    <w:p>
      <w:pPr>
        <w:ind w:left="420"/>
      </w:pPr>
      <w:r>
        <w:t xml:space="preserve">2. eines gerichtlichen Disziplinarverfahrens,</w:t>
      </w:r>
    </w:p>
    <w:p>
      <w:pPr>
        <w:ind w:left="420"/>
      </w:pPr>
      <w:r>
        <w:t xml:space="preserve">3. einer Aussetzung des Disziplinarverfahrens entsprechend § 22 des Bundesdisziplinargesetzes,</w:t>
      </w:r>
    </w:p>
    <w:p>
      <w:pPr>
        <w:ind w:left="420"/>
      </w:pPr>
      <w:r>
        <w:t xml:space="preserve">4. eines wegen desselben Verhaltens eingeleiteten Strafverfahrens und</w:t>
      </w:r>
    </w:p>
    <w:p>
      <w:pPr>
        <w:ind w:left="420"/>
      </w:pPr>
      <w:r>
        <w:t xml:space="preserve">5. eines wegen desselben Verhaltens eingeleiteten vorrangigen berufsaufsichtlichen Verfahrens.</w:t>
      </w:r>
    </w:p>
    <w:p>
      <w:r>
        <w:t xml:space="preserve">(3) Die Verjährung wird unterbrochen durch</w:t>
      </w:r>
    </w:p>
    <w:p>
      <w:pPr>
        <w:ind w:left="420"/>
      </w:pPr>
      <w:r>
        <w:t xml:space="preserve">1. die Einleitung des Disziplinarverfahrens,</w:t>
      </w:r>
    </w:p>
    <w:p>
      <w:pPr>
        <w:ind w:left="420"/>
      </w:pPr>
      <w:r>
        <w:t xml:space="preserve">2. die Erhebung der Disziplinarklage und</w:t>
      </w:r>
    </w:p>
    <w:p>
      <w:pPr>
        <w:ind w:left="420"/>
      </w:pPr>
      <w:r>
        <w:t xml:space="preserve">3. die Erhebung der Nachtragsdisziplinarklage.</w:t>
      </w:r>
    </w:p>
    <w:p>
      <w:r>
        <w:rPr>
          <w:color w:val="555555"/>
          <w:sz w:val="17"/>
        </w:rPr>
        <w:t xml:space="preserve">Zitiervorschlag: § 95a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https://recht.nulegal.eu/gesetze/BNotO/95a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