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94 BNotO — Missbilligung</w:t>
      </w:r>
    </w:p>
    <w:p>
      <w:r>
        <w:rPr>
          <w:color w:val="555555"/>
          <w:sz w:val="18"/>
        </w:rPr>
        <w:t xml:space="preserve">Bundesnotarordnung</w:t>
      </w:r>
    </w:p>
    <w:p>
      <w:r>
        <w:rPr>
          <w:color w:val="555555"/>
          <w:sz w:val="18"/>
        </w:rPr>
        <w:t xml:space="preserve">Stand: 01.08.2021 (konsolidierte Textfassung, kein amtliches Inkrafttretensdatum)</w:t>
      </w:r>
    </w:p>
    <w:p>
      <w:r>
        <w:t xml:space="preserve">(1) Die Aufsichtsbehörden sind befugt, Notaren und Notarassessoren eine Missbilligung auszusprechen, wenn diese eine Amtspflichtverletzung leichter Art begangen haben. Für die Verjährung gilt § 95a Absatz 1 Satz 1.</w:t>
      </w:r>
    </w:p>
    <w:p>
      <w:r>
        <w:t xml:space="preserve">(2) § 75 Absatz 2 und 3 Satz 1 und 2 gilt entsprechend. Der Notarkammer ist eine Kopie der Missbilligung zu übermitteln.</w:t>
      </w:r>
    </w:p>
    <w:p>
      <w:r>
        <w:t xml:space="preserve">(3) Gegen eine Missbilligung kann der Notar oder Notarassessor innerhalb eines Monats nach Zustellung schriftlich bei der Aufsichtsbehörde Beschwerde einlegen. Die Aufsichtsbehörde kann der Beschwerde abhelfen. Hilft sie ihr nicht ab, entscheidet über die Beschwerde die nächsthöhere Aufsichtsbehörde. Deren Entscheidung ist zu begründen und dem Notar oder Notarassessor zuzustellen.</w:t>
      </w:r>
    </w:p>
    <w:p>
      <w:r>
        <w:t xml:space="preserve">(4) Wird die Beschwerde zurückgewiesen, kann der Notar oder Notarassessor die Entscheidung des Oberlandesgerichts als Disziplinargericht für Notare beantragen. § 75 Absatz 5 Satz 2 bis 4 gilt entsprechend.</w:t>
      </w:r>
    </w:p>
    <w:p>
      <w:r>
        <w:t xml:space="preserve">(5) Eine Missbilligung lässt das Recht der Aufsichtsbehörde zur Einleitung eines Disziplinarverfahrens unberührt. § 75 Absatz 6 Satz 2 und 3 gilt entsprechend.</w:t>
      </w:r>
    </w:p>
    <w:p>
      <w:r>
        <w:rPr>
          <w:color w:val="555555"/>
          <w:sz w:val="17"/>
        </w:rPr>
        <w:t xml:space="preserve">Zitiervorschlag: § 94 BNotO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https://recht.nulegal.eu/gesetze/BNotO/94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