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83 BNotO — Generalversammlung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Bundesnotarkammer faßt ihre Beschlüsse regelmäßig auf Generalversammlungen.</w:t>
      </w:r>
    </w:p>
    <w:p>
      <w:r>
        <w:t xml:space="preserve">(2) Die der Bundesnotarkammer in § 78 Abs. 1 Nr. 4 zugewiesenen Aufgaben erledigt das Präsidium nach Anhörung der Generalversammlung. In dringenden Fällen kann die Anhörung unterbleiben; die Mitglieder sind jedoch unverzüglich von den getroffenen Maßnahmen zu unterrichten.</w:t>
      </w:r>
    </w:p>
    <w:p>
      <w:r>
        <w:rPr>
          <w:color w:val="555555"/>
          <w:sz w:val="17"/>
        </w:rPr>
        <w:t xml:space="preserve">Zitiervorschlag: § 83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https://recht.nulegal.eu/gesetze/BNotO/83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