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81a BNotO — Verschwiegenheitspflicht; Inanspruchnahme von Dienstleistungen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Für die Verschwiegenheitspflicht der Mitglieder des Präsidiums und der Angestellten der Bundesnotarkammer sowie der Personen, die von der Bundesnotarkammer oder den Mitgliedern ihres Präsidiums zur Mitarbeit herangezogen werden, gilt § 69a Absatz 1 und 2 entsprechend.</w:t>
      </w:r>
    </w:p>
    <w:p>
      <w:r>
        <w:t xml:space="preserve">(2) Für die Inanspruchnahme von Dienstleistungen durch die Bundesnotarkammer gilt in Bezug auf Angelegenheiten, die der Verschwiegenheitspflicht des Notars nach § 18 unterliegen, § 26a Absatz 1 bis 3, 6 und 7 sinngemäß.</w:t>
      </w:r>
    </w:p>
    <w:p>
      <w:r>
        <w:rPr>
          <w:color w:val="555555"/>
          <w:sz w:val="17"/>
        </w:rPr>
        <w:t xml:space="preserve">Zitiervorschlag: § 81a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https://recht.nulegal.eu/gesetze/BNotO/81a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