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7h BNotO — Gebühren</w:t>
      </w:r>
    </w:p>
    <w:p>
      <w:r>
        <w:rPr>
          <w:color w:val="555555"/>
          <w:sz w:val="18"/>
        </w:rPr>
        <w:t xml:space="preserve">Bundesnotarordnung</w:t>
      </w:r>
    </w:p>
    <w:p>
      <w:r>
        <w:rPr>
          <w:color w:val="555555"/>
          <w:sz w:val="18"/>
        </w:rPr>
        <w:t xml:space="preserve">Stand: 01.07.2026 (konsolidierte Textfassung, kein amtliches Inkrafttretensdatum)</w:t>
      </w:r>
    </w:p>
    <w:p>
      <w:r>
        <w:t xml:space="preserve">(1) Für die Prüfung und für das erfolglose Widerspruchsverfahren sind Gebühren an die Bundesnotarkammer zu zahlen. Die Zulassung zur Prüfung erfolgt erst, wenn die Prüfungsgebühren bei der Bundesnotarkammer eingegangen sind.</w:t>
      </w:r>
    </w:p>
    <w:p>
      <w:r>
        <w:t xml:space="preserve">(2) Tritt der Prüfling vor Antritt der Prüfung zurück, wird die Gebühr für die Prüfung zu drei Vierteln erstattet. Abweichend von Satz 1 können die Gebühren für die Prüfung einbehalten werden und mit den Gebühren für den nächsten Prüfungstermin verrechnet werden, wenn der Prüfling vor Antritt der Prüfung nach § 7e Absatz 2 Satz 1 entschuldigt zurückgetreten ist und die Rücktrittserklärung die Absichtserklärung nach § 7e Absatz 2 Satz 2 enthält. Wird in diesem Fall die Prüfung weder im nächsten noch im übernächsten Prüfungstermin abgelegt, ist Satz 1 anzuwenden. Tritt der Prüfling bis zum Ende der Bearbeitungszeit für die letzte Aufsichtsarbeit zurück, ist die Gebühr zur Hälfte zu erstatten. Eine Erstattung von Gebühren im Fall des § 7f ist ausgeschlossen.</w:t>
      </w:r>
    </w:p>
    <w:p>
      <w:r>
        <w:t xml:space="preserve">(3) Die Bundesnotarkammer bestimmt die Höhe der Gebühren nach Absatz 1, die Einzelheiten der Gebührenerhebung, die Vergütung der Leitung und der Bediensteten des Prüfungsamtes sowie die Entschädigung und den Auslagenersatz der Mitglieder der Aufgabenkommission, der Mitglieder des Verwaltungsrats und der Prüfenden durch Satzung, die der Genehmigung des Bundesministeriums der Justiz und für Verbraucherschutz bedarf.</w:t>
      </w:r>
    </w:p>
    <w:p>
      <w:r>
        <w:rPr>
          <w:color w:val="555555"/>
          <w:sz w:val="17"/>
        </w:rPr>
        <w:t xml:space="preserve">Zitiervorschlag: § 7h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