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78p BNotO — Videokommunikationssystem für Urkundstätigkeiten; Verordnungsermächtigung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Bundesnotarkammer betreibt ein Videokommunikationssystem, das den Notaren die Vornahme von Urkundstätigkeiten mittels Videokommunikation nach den §§ 16a bis 16e und 40a des Beurkundungsgesetzes ermöglicht.</w:t>
      </w:r>
    </w:p>
    <w:p>
      <w:r>
        <w:t xml:space="preserve">(2) Der Betrieb des Videokommunikationssystems umfasst insbesondere auch</w:t>
      </w:r>
    </w:p>
    <w:p>
      <w:pPr>
        <w:ind w:left="420"/>
      </w:pPr>
      <w:r>
        <w:t xml:space="preserve">1. die technische Abwicklung der Videokommunikation zwischen den Notaren und den Beteiligten,</w:t>
      </w:r>
    </w:p>
    <w:p>
      <w:pPr>
        <w:ind w:left="420"/>
      </w:pPr>
      <w:r>
        <w:t xml:space="preserve">2. die technische Durchführung eines elektronischen Identitätsnachweises nach § 16c Satz 1 des Beurkundungsgesetzes,</w:t>
      </w:r>
    </w:p>
    <w:p>
      <w:pPr>
        <w:ind w:left="420"/>
      </w:pPr>
      <w:r>
        <w:t xml:space="preserve">3. das Auslesen eines elektronischen Speicher- und Verarbeitungsmediums nach § 16c Satz 2 des Beurkundungsgesetzes und</w:t>
      </w:r>
    </w:p>
    <w:p>
      <w:pPr>
        <w:ind w:left="420"/>
      </w:pPr>
      <w:r>
        <w:t xml:space="preserve">4. das Erstellen einer qualifizierten elektronischen Signatur und das Versehen der elektronischen Urkunde mit dieser.</w:t>
      </w:r>
    </w:p>
    <w:p>
      <w:r>
        <w:t xml:space="preserve">Das Videokommunikationssystem kann weitere Funktionen umfassen, die der Anbahnung, der Vorbereitung, der Durchführung oder dem Vollzug der Urkundstätigkeit dienen.</w:t>
      </w:r>
    </w:p>
    <w:p>
      <w:r>
        <w:t xml:space="preserve">(3) Das Bundesministerium der Justiz hat im Einvernehmen mit dem Bundesministerium des Innern und für Heimat durch Rechtsverordnung, die nicht der Zustimmung des Bundesrates bedarf, die näheren Bestimmungen zu treffen über</w:t>
      </w:r>
    </w:p>
    <w:p>
      <w:pPr>
        <w:ind w:left="420"/>
      </w:pPr>
      <w:r>
        <w:t xml:space="preserve">1. die Einrichtung des Videokommunikationssystems,</w:t>
      </w:r>
    </w:p>
    <w:p>
      <w:pPr>
        <w:ind w:left="420"/>
      </w:pPr>
      <w:r>
        <w:t xml:space="preserve">2. den technischen Betrieb des Videokommunikationssystems,</w:t>
      </w:r>
    </w:p>
    <w:p>
      <w:pPr>
        <w:ind w:left="420"/>
      </w:pPr>
      <w:r>
        <w:t xml:space="preserve">3. die für die Funktionen des Videokommunikationssystems erforderlichen Datenverarbeitungen,</w:t>
      </w:r>
    </w:p>
    <w:p>
      <w:pPr>
        <w:ind w:left="420"/>
      </w:pPr>
      <w:r>
        <w:t xml:space="preserve">4. die Datensicherheit und</w:t>
      </w:r>
    </w:p>
    <w:p>
      <w:pPr>
        <w:ind w:left="420"/>
      </w:pPr>
      <w:r>
        <w:t xml:space="preserve">5. die Erteilung und Entziehung der technischen Zugangsberechtigungen.</w:t>
      </w:r>
    </w:p>
    <w:p>
      <w:r>
        <w:rPr>
          <w:color w:val="555555"/>
          <w:sz w:val="17"/>
        </w:rPr>
        <w:t xml:space="preserve">Zitiervorschlag: § 78p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https://recht.nulegal.eu/gesetze/BNotO/78p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