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78n BNotO — Besonderes elektronisches Notarpostfach; Verordnungsermächtigung</w:t>
      </w:r>
    </w:p>
    <w:p>
      <w:r>
        <w:rPr>
          <w:color w:val="555555"/>
          <w:sz w:val="18"/>
        </w:rPr>
        <w:t xml:space="preserve">Bundesnotarordnung</w:t>
      </w:r>
    </w:p>
    <w:p>
      <w:r>
        <w:rPr>
          <w:color w:val="555555"/>
          <w:sz w:val="18"/>
        </w:rPr>
        <w:t xml:space="preserve">Stand: 01.08.2021 (konsolidierte Textfassung, kein amtliches Inkrafttretensdatum)</w:t>
      </w:r>
    </w:p>
    <w:p>
      <w:r>
        <w:t xml:space="preserve">(1) Die Bundesnotarkammer richtet für jeden in das Notarverzeichnis eingetragenen Notar ein persönliches elektronisches Postfach ein (besonderes elektronisches Notarpostfach).</w:t>
      </w:r>
    </w:p>
    <w:p>
      <w:r>
        <w:t xml:space="preserve">(2) Die Bundesnotarkammer hat sicherzustellen, dass der Zugang zum besonderen elektronischen Notarpostfach nur durch ein sicheres Verfahren mit zwei voneinander unabhängigen Sicherungsmitteln möglich ist. Die Bundesnotarkammer kann unterschiedlich ausgestaltete Zugangsberechtigungen für Notare und andere Personen vorsehen. Sie ist berechtigt, die in dem besonderen elektronischen Notarpostfach gespeicherten Nachrichten nach angemessener Zeit zu löschen. Das besondere elektronische Notarpostfach soll barrierefrei ausgestaltet sein.</w:t>
      </w:r>
    </w:p>
    <w:p>
      <w:r>
        <w:t xml:space="preserve">(3) Wird das Erlöschen des Amtes des Notars oder die vorläufige Amtsenthebung in das Notarverzeichnis eingetragen, hebt die Bundesnotarkammer die Zugangsberechtigung zum besonderen elektronischen Notarpostfach auf. Sie löscht das besondere elektronische Notarpostfach, sobald es nicht mehr benötigt wird.</w:t>
      </w:r>
    </w:p>
    <w:p>
      <w:r>
        <w:t xml:space="preserve">(4) Die Absätze 1 bis 3 gelten für Notariatsverwalter entsprechend.</w:t>
      </w:r>
    </w:p>
    <w:p>
      <w:r>
        <w:t xml:space="preserve">(5) Die Bundesnotarkammer kann auch für Notarvertretungen, für Notarassessoren, für sich selbst, für die Notarkammern und für andere notarielle Einrichtungen besondere elektronische Notarpostfächer einrichten. Absatz 2 Satz 1, 3 und 4 ist anzuwenden.</w:t>
      </w:r>
    </w:p>
    <w:p>
      <w:r>
        <w:t xml:space="preserve">(6) Der Inhaber des besonderen elektronischen Notarpostfachs ist verpflichtet, die für dessen Nutzung erforderlichen technischen Einrichtungen vorzuhalten sowie Zustellungen und den Zugang von Mitteilungen über das besondere elektronische Notarpostfach zur Kenntnis zu nehmen.</w:t>
      </w:r>
    </w:p>
    <w:p>
      <w:r>
        <w:t xml:space="preserve">(7) Das Bundesministerium der Justiz und für Verbraucherschutz regelt durch Rechtsverordnung mit Zustimmung des Bundesrates die Einzelheiten der besonderen elektronischen Notarpostfächer, insbesondere Einzelheiten</w:t>
      </w:r>
    </w:p>
    <w:p>
      <w:pPr>
        <w:ind w:left="420"/>
      </w:pPr>
      <w:r>
        <w:t xml:space="preserve">1. ihrer Einrichtung und der hierzu erforderlichen Datenübermittlung,</w:t>
      </w:r>
    </w:p>
    <w:p>
      <w:pPr>
        <w:ind w:left="420"/>
      </w:pPr>
      <w:r>
        <w:t xml:space="preserve">2. ihrer technischen Ausgestaltung einschließlich ihrer Barrierefreiheit,</w:t>
      </w:r>
    </w:p>
    <w:p>
      <w:pPr>
        <w:ind w:left="420"/>
      </w:pPr>
      <w:r>
        <w:t xml:space="preserve">3. ihrer Führung,</w:t>
      </w:r>
    </w:p>
    <w:p>
      <w:pPr>
        <w:ind w:left="420"/>
      </w:pPr>
      <w:r>
        <w:t xml:space="preserve">4. der Zugangsberechtigung und der Nutzung,</w:t>
      </w:r>
    </w:p>
    <w:p>
      <w:pPr>
        <w:ind w:left="420"/>
      </w:pPr>
      <w:r>
        <w:t xml:space="preserve">5. des Löschens von Nachrichten und</w:t>
      </w:r>
    </w:p>
    <w:p>
      <w:pPr>
        <w:ind w:left="420"/>
      </w:pPr>
      <w:r>
        <w:t xml:space="preserve">6. ihrer Löschung.</w:t>
      </w:r>
    </w:p>
    <w:p>
      <w:r>
        <w:rPr>
          <w:color w:val="555555"/>
          <w:sz w:val="17"/>
        </w:rPr>
        <w:t xml:space="preserve">Zitiervorschlag: § 78n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https://recht.nulegal.eu/gesetze/BNotO/78n</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