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78l BNotO — Notarverzeichnis</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Bundesnotarkammer führt ein elektronisches Verzeichnis der Notare und Notariatsverwalter (Notarverzeichnis). Jede Notarkammer gibt die Daten zu den in ihr zusammengeschlossenen Notaren und zu den in ihrem Bezirk bestellten Notariatsverwaltern in das Notarverzeichnis ein.</w:t>
      </w:r>
    </w:p>
    <w:p>
      <w:r>
        <w:t xml:space="preserve">(2) Das Notarverzeichnis dient der Information der Behörden und Gerichte, der Rechtsuchenden und der anderen am Rechtsverkehr Beteiligten über die bestellten Notare und Notariatsverwalter sowie über die Zuständigkeit für die Verwahrung notarieller Akten und Verzeichnisse. Darüber hinaus dient es der Erfüllung der Aufgaben der Notarkammern und der Bundesnotarkammer. Die Einsicht in das Verzeichnis steht jedem unentgeltlich zu. Die Suche in dem Verzeichnis wird durch ein elektronisches Suchsystem ermöglicht.</w:t>
      </w:r>
    </w:p>
    <w:p>
      <w:r>
        <w:t xml:space="preserve">(3) In das Notarverzeichnis sind einzutragen:</w:t>
      </w:r>
    </w:p>
    <w:p>
      <w:pPr>
        <w:ind w:left="420"/>
      </w:pPr>
      <w:r>
        <w:t xml:space="preserve">1. die von der Landesjustizverwaltung nach § 67 Absatz 6 Nummer 1 bis 5 mitgeteilten Tatsachen unter Angabe des jeweils maßgeblichen Datums,</w:t>
      </w:r>
    </w:p>
    <w:p>
      <w:pPr>
        <w:ind w:left="420"/>
      </w:pPr>
      <w:r>
        <w:t xml:space="preserve">2. der Familienname und der oder die Vornamen sowie frühere Familiennamen, die der Notar oder Notariatsverwalter seit seiner Bestellung geführt hat,</w:t>
      </w:r>
    </w:p>
    <w:p>
      <w:pPr>
        <w:ind w:left="420"/>
      </w:pPr>
      <w:r>
        <w:t xml:space="preserve">3. Zuständigkeiten für die Aktenverwahrung mit Ausnahme solcher nach § 45 Absatz 1,</w:t>
      </w:r>
    </w:p>
    <w:p>
      <w:pPr>
        <w:ind w:left="420"/>
      </w:pPr>
      <w:r>
        <w:t xml:space="preserve">4. der Amtssitz, die Anschrift von Geschäftsstellen sowie die Orte und Termine auswärtiger Sprechtage,</w:t>
      </w:r>
    </w:p>
    <w:p>
      <w:pPr>
        <w:ind w:left="420"/>
      </w:pPr>
      <w:r>
        <w:t xml:space="preserve">5. die Kammerzugehörigkeit,</w:t>
      </w:r>
    </w:p>
    <w:p>
      <w:pPr>
        <w:ind w:left="420"/>
      </w:pPr>
      <w:r>
        <w:t xml:space="preserve">6. die Bezeichnung des besonderen elektronischen Notarpostfachs,</w:t>
      </w:r>
    </w:p>
    <w:p>
      <w:pPr>
        <w:ind w:left="420"/>
      </w:pPr>
      <w:r>
        <w:t xml:space="preserve">7. die Telekommunikationsdaten, die der Notar oder Notariatsverwalter mitgeteilt hat,</w:t>
      </w:r>
    </w:p>
    <w:p>
      <w:pPr>
        <w:ind w:left="420"/>
      </w:pPr>
      <w:r>
        <w:t xml:space="preserve">8. Sprachkenntnisse, soweit der Notar oder Notariatsverwalter solche mitteilt.</w:t>
      </w:r>
    </w:p>
    <w:p>
      <w:r>
        <w:t xml:space="preserve">Die Eintragungen zu Satz 1 Nummer 1 bis 5 sind von der jeweiligen Notarkammer, die Eintragungen zu Satz 1 Nummer 6 bis 8 von der Bundesnotarkammer vorzunehmen. Eintragungen zu Notarvertretungen können auch unmittelbar durch die Aufsichtsbehörde erfolgen. Die Notarkammern, die Bundesnotarkammer und die Aufsichtsbehörde tragen die datenschutzrechtliche Verantwortung für die jeweils von ihnen in das Verzeichnis eingegebenen Daten.</w:t>
      </w:r>
    </w:p>
    <w:p>
      <w:r>
        <w:t xml:space="preserve">(4) Die zu einem Anwaltsnotar zu erhebenden Daten können auch automatisiert aus dem Gesamtverzeichnis der Bundesrechtsanwaltskammer (§ 31 der Bundesrechtsanwaltsordnung) abgerufen werden. Das Gleiche gilt bei der Bestellung eines Rechtsanwalts zum Notariatsverwalter oder zur Notarvertretung.</w:t>
      </w:r>
    </w:p>
    <w:p>
      <w:r>
        <w:t xml:space="preserve">(5) Das Notarverzeichnis kann auch Eintragungen zu früheren Notaren, Notariatsverwaltern und vergleichbaren anderen Amtspersonen enthalten. Zuständig für Eintragungen zu früheren Amtspersonen sind die Notarkammern, die zur Zeit der Amtstätigkeit der früheren Amtspersonen für Eintragungen nach Absatz 1 Satz 2 zuständig waren. Zu früheren Amtspersonen sind nur die Angaben einzutragen, die zum Auffinden derjenigen Urkunden erforderlich sind, die von ihnen beurkundet wurden.</w:t>
      </w:r>
    </w:p>
    <w:p>
      <w:r>
        <w:t xml:space="preserve">(6) Die Eintragungen im Notarverzeichnis sind zu löschen, wenn sie zur Erfüllung der in Absatz 2 Satz 1 und 2 genannten Zwecke nicht mehr erforderlich sind.</w:t>
      </w:r>
    </w:p>
    <w:p>
      <w:r>
        <w:rPr>
          <w:color w:val="555555"/>
          <w:sz w:val="17"/>
        </w:rPr>
        <w:t xml:space="preserve">Zitiervorschlag: § 78l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