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78i BNotO — Zugangsberechtigung zum Elektronischen Urkundenarchiv</w:t>
      </w:r>
    </w:p>
    <w:p>
      <w:r>
        <w:rPr>
          <w:color w:val="555555"/>
          <w:sz w:val="18"/>
        </w:rPr>
        <w:t xml:space="preserve">Bundesnotarordnung</w:t>
      </w:r>
    </w:p>
    <w:p>
      <w:r>
        <w:rPr>
          <w:color w:val="555555"/>
          <w:sz w:val="18"/>
        </w:rPr>
        <w:t xml:space="preserve">Stand: 01.08.2021 (konsolidierte Textfassung, kein amtliches Inkrafttretensdatum)</w:t>
      </w:r>
    </w:p>
    <w:p>
      <w:r>
        <w:t xml:space="preserve">Der Zugang zum Urkundenverzeichnis, zum Verwahrungsverzeichnis und zu den im Elektronischen Urkundenarchiv verwahrten elektronischen Dokumenten steht ausschließlich der für die Verwahrung zuständigen Stelle zu. Hierzu trifft die Urkundenarchivbehörde geeignete technische und organisatorische Maßnahmen.</w:t>
      </w:r>
    </w:p>
    <w:p>
      <w:r>
        <w:rPr>
          <w:color w:val="555555"/>
          <w:sz w:val="17"/>
        </w:rPr>
        <w:t xml:space="preserve">Zitiervorschlag: § 78i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