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78d BNotO — Inhalt des Zentralen Testamentsregisters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In das Zentrale Testamentsregister werden Verwahrangaben zu erbfolgerelevanten Urkunden aufgenommen, die</w:t>
      </w:r>
    </w:p>
    <w:p>
      <w:pPr>
        <w:ind w:left="420"/>
      </w:pPr>
      <w:r>
        <w:t xml:space="preserve">1. von Notaren nach § 34a Absatz 1 oder 2 des Beurkundungsgesetzes zu übermitteln sind oder</w:t>
      </w:r>
    </w:p>
    <w:p>
      <w:pPr>
        <w:ind w:left="420"/>
      </w:pPr>
      <w:r>
        <w:t xml:space="preserve">2. von Gerichten nach Absatz 4 Satz 1 sowie nach § 347 des Gesetzes über das Verfahren in Familiensachen und in den Angelegenheiten der freiwilligen Gerichtsbarkeit zu übermitteln sind.</w:t>
      </w:r>
    </w:p>
    <w:p>
      <w:r>
        <w:t xml:space="preserve">Weiterer Inhalt des Zentralen Testamentsregisters sind</w:t>
      </w:r>
    </w:p>
    <w:p>
      <w:pPr>
        <w:ind w:left="420"/>
      </w:pPr>
      <w:r>
        <w:t xml:space="preserve">1. Verwahrangaben, die nach § 1 des Testamentsverzeichnis-Überführungsgesetzes überführt worden sind, und</w:t>
      </w:r>
    </w:p>
    <w:p>
      <w:pPr>
        <w:ind w:left="420"/>
      </w:pPr>
      <w:r>
        <w:t xml:space="preserve">2. Mitteilungen, die nach § 9 des Testamentsverzeichnis-Überführungsgesetzes überführt worden sind.</w:t>
      </w:r>
    </w:p>
    <w:p>
      <w:r>
        <w:t xml:space="preserve">Die gespeicherten Daten sind mit Ablauf des 30. auf die Sterbefallmitteilung folgenden Kalenderjahres zu löschen.</w:t>
      </w:r>
    </w:p>
    <w:p>
      <w:r>
        <w:t xml:space="preserve">(2) Erbfolgerelevante Urkunden sind Testamente, Erbverträge und alle Urkunden mit Erklärungen, welche die Erbfolge beeinflussen können, insbesondere Aufhebungsverträge, Rücktritts- und Anfechtungserklärungen, Erb- und Zuwendungsverzichtsverträge, Ehe- und Lebenspartnerschaftsverträge und Rechtswahlen. Verwahrangaben sind Angaben, die zum Auffinden erbfolgerelevanter Urkunden erforderlich sind.</w:t>
      </w:r>
    </w:p>
    <w:p>
      <w:r>
        <w:t xml:space="preserve">(3) Registerfähig sind nur erbfolgerelevante Urkunden, die</w:t>
      </w:r>
    </w:p>
    <w:p>
      <w:pPr>
        <w:ind w:left="420"/>
      </w:pPr>
      <w:r>
        <w:t xml:space="preserve">1. öffentlich beurkundet worden sind oder</w:t>
      </w:r>
    </w:p>
    <w:p>
      <w:pPr>
        <w:ind w:left="420"/>
      </w:pPr>
      <w:r>
        <w:t xml:space="preserve">2. in amtliche Verwahrung genommen worden sind.</w:t>
      </w:r>
    </w:p>
    <w:p>
      <w:r>
        <w:t xml:space="preserve">(4) Handelt es sich bei einem gerichtlichen Vergleich um eine erbfolgerelevante Urkunde im Sinne von Absatz 2 Satz 1, übermittelt das Gericht unverzüglich die Verwahrangaben an die das Zentrale Testamentsregister führende Registerbehörde nach Maßgabe der nach § 78c Absatz 2 und 3 erlassenen Rechtsverordnung. Der Erblasser teilt dem Gericht die zur Registrierung erforderlichen Daten mit.</w:t>
      </w:r>
    </w:p>
    <w:p>
      <w:r>
        <w:rPr>
          <w:color w:val="555555"/>
          <w:sz w:val="17"/>
        </w:rPr>
        <w:t xml:space="preserve">Zitiervorschlag: § 78d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https://recht.nulegal.eu/gesetze/BNotO/78d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