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78b BNotO — Auskunft und Gebühren</w:t>
      </w:r>
    </w:p>
    <w:p>
      <w:r>
        <w:rPr>
          <w:color w:val="555555"/>
          <w:sz w:val="18"/>
        </w:rPr>
        <w:t xml:space="preserve">Bundesnotarordnung</w:t>
      </w:r>
    </w:p>
    <w:p>
      <w:r>
        <w:rPr>
          <w:color w:val="555555"/>
          <w:sz w:val="18"/>
        </w:rPr>
        <w:t xml:space="preserve">Stand: 01.01.2023 (konsolidierte Textfassung, kein amtliches Inkrafttretensdatum)</w:t>
      </w:r>
    </w:p>
    <w:p>
      <w:r>
        <w:t xml:space="preserve">(1) Die Registerbehörde erteilt Gerichten und Ärzten auf Ersuchen Auskunft aus dem Zentralen Vorsorgeregister. Ärzte dürfen nur um Auskunft ersuchen, soweit diese für die Entscheidung über eine dringende medizinische Behandlung erforderlich ist. Die Befugnis der Gerichte, Notare und Notarkammern zur Einsicht in Registrierungen, die von ihnen verwahrte oder registrierte Urkunden betreffen, bleibt unberührt.</w:t>
      </w:r>
    </w:p>
    <w:p>
      <w:r>
        <w:t xml:space="preserve">(2) Das Zentrale Vorsorgeregister wird durch Gebühren finanziert. Die Registerbehörde kann Gebühren für die Aufnahme von Erklärungen in das Register erheben. Zur Zahlung der Gebühren sind der Antragsteller und derjenige verpflichtet, der für die Gebührenschuld eines anderen kraft Gesetzes haftet. Mehrere Gebührenschuldner haften als Gesamtschuldner. Gerichte und Notare können die Gebühren für die Registerbehörde entgegennehmen.</w:t>
      </w:r>
    </w:p>
    <w:p>
      <w:r>
        <w:t xml:space="preserve">(3) Die Gebühren sind so zu bemessen, dass der mit der Einrichtung, der Inbetriebnahme, der dauerhaften Führung und der Nutzung des Zentralen Vorsorgeregisters durchschnittlich verbundene Verwaltungsaufwand einschließlich der Personal- und Sachkosten gedeckt wird. Dabei ist auch der für die Aufnahme von Erklärungen in das Register gewählte Kommunikationsweg zu berücksichtigen.</w:t>
      </w:r>
    </w:p>
    <w:p>
      <w:r>
        <w:t xml:space="preserve">(4) Die Registerbehörde bestimmt die Gebühren nach Absatz 2 Satz 2 und die Art ihrer Erhebung durch eine Gebührensatzung. Die Satzung bedarf der Genehmigung durch das Bundesministerium der Justiz und für Verbraucherschutz. Die Höhe der Gebühren ist regelmäßig zu überprüfen.</w:t>
      </w:r>
    </w:p>
    <w:p>
      <w:r>
        <w:rPr>
          <w:color w:val="555555"/>
          <w:sz w:val="17"/>
        </w:rPr>
        <w:t xml:space="preserve">Zitiervorschlag: § 78b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