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BNotO — Auskunfts-, Vorlage- und Vorladerecht</w:t>
      </w:r>
    </w:p>
    <w:p>
      <w:r>
        <w:rPr>
          <w:color w:val="555555"/>
          <w:sz w:val="18"/>
        </w:rPr>
        <w:t xml:space="preserve">Bundesnotarordnung</w:t>
      </w:r>
    </w:p>
    <w:p>
      <w:r>
        <w:rPr>
          <w:color w:val="555555"/>
          <w:sz w:val="18"/>
        </w:rPr>
        <w:t xml:space="preserve">Stand: 01.01.2022 (konsolidierte Textfassung, kein amtliches Inkrafttretensdatum)</w:t>
      </w:r>
    </w:p>
    <w:p>
      <w:r>
        <w:t xml:space="preserve">(1) Die Notarkammer kann in Ausübung ihrer Befugnisse von den Notaren und Notarassessoren Auskünfte, die Vorlage von Akten und Verzeichnissen sowie das persönliche Erscheinen vor den zuständigen Organen der Notarkammer verlangen. Die Notarkammer ist befugt, hierdurch erlangte Kenntnisse an die Einrichtungen nach § 67 Abs. 4 weiterzugeben, soweit diese von den Einrichtungen für die Erfüllung ihrer Aufgaben benötigt werden.</w:t>
      </w:r>
    </w:p>
    <w:p>
      <w:r>
        <w:t xml:space="preserve">(2) Die Notarkammer kann zur Erzwingung der den Notaren oder Notarassessoren nach Absatz 1 obliegenden Amtspflichten nach vorheriger schriftlicher Androhung, auch zu wiederholten Malen, Zwangsgeld festsetzen. Das einzelne Zwangsgeld darf eintausend Euro nicht übersteigen. Das Zwangsgeld fließt der Notarkammer zu; es wird wie ein rückständiger Beitrag beigetrieben.</w:t>
      </w:r>
    </w:p>
    <w:p>
      <w:r>
        <w:rPr>
          <w:color w:val="555555"/>
          <w:sz w:val="17"/>
        </w:rPr>
        <w:t xml:space="preserve">Zitiervorschlag: § 74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