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6b BNotO</w:t>
      </w:r>
    </w:p>
    <w:p>
      <w:r>
        <w:rPr>
          <w:color w:val="555555"/>
          <w:sz w:val="18"/>
        </w:rPr>
        <w:t xml:space="preserve">Bundesnotarordnung</w:t>
      </w:r>
    </w:p>
    <w:p>
      <w:r>
        <w:rPr>
          <w:color w:val="555555"/>
          <w:sz w:val="18"/>
        </w:rPr>
        <w:t xml:space="preserve">Außer Kraft: § 6b ist seit 01.08.2021 nicht mehr im BNotO enthalten. Angezeigt wird die letzte bekannte Fassung, Stand 10.06.2019.</w:t>
      </w:r>
    </w:p>
    <w:p>
      <w:r>
        <w:t xml:space="preserve">(1) Die Bewerber sind durch Ausschreibung zu ermitteln; dies gilt nicht bei einer erneuten Bestellung nach einer vorübergehenden Amtsniederlegung gemäß § 48c.</w:t>
      </w:r>
    </w:p>
    <w:p>
      <w:r>
        <w:t xml:space="preserve">(2) Die Bewerbung ist innerhalb der in der Ausschreibung gesetzten oder von der Landesjustizverwaltung allgemein bekanntgegebenen Frist einzureichen.</w:t>
      </w:r>
    </w:p>
    <w:p>
      <w:r>
        <w:t xml:space="preserve">(3) War ein Bewerber ohne sein Verschulden verhindert, die Frist einzuhalten, so ist ihm auf Antrag Wiedereinsetzung in den vorigen Stand zu gewähren. Der Antrag ist innerhalb von zwei Wochen nach Wegfall des Hindernisses zu stellen. Die Tatsachen zur Begründung des Antrags sind glaubhaft zu machen. Die Bewerbung ist innerhalb der Antragsfrist nachzuholen.</w:t>
      </w:r>
    </w:p>
    <w:p>
      <w:r>
        <w:t xml:space="preserve">(4) Bei der Auswahl unter mehreren Bewerbern nach § 6 Abs. 3 sind nur solche Umstände zu berücksichtigen, die bei Ablauf der Bewerbungsfrist vorlagen. Die Landesjustizverwaltung kann für den Fall des § 7 Abs. 1 einen hiervon abweichenden Zeitpunkt bestimmen.</w:t>
      </w:r>
    </w:p>
    <w:p>
      <w:r>
        <w:rPr>
          <w:color w:val="555555"/>
          <w:sz w:val="17"/>
        </w:rPr>
        <w:t xml:space="preserve">Zitiervorschlag: § 6b BNotO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