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BNotO — Aufgaben; Verordnungsermächtigung</w:t>
      </w:r>
    </w:p>
    <w:p>
      <w:r>
        <w:rPr>
          <w:color w:val="555555"/>
          <w:sz w:val="18"/>
        </w:rPr>
        <w:t xml:space="preserve">Bundesnotarordnung</w:t>
      </w:r>
    </w:p>
    <w:p>
      <w:r>
        <w:rPr>
          <w:color w:val="555555"/>
          <w:sz w:val="18"/>
        </w:rPr>
        <w:t xml:space="preserve">Stand: 01.08.2021 (konsolidierte Textfassung, kein amtliches Inkrafttretensdatum)</w:t>
      </w:r>
    </w:p>
    <w:p>
      <w:r>
        <w:t xml:space="preserve">(1) Die Notarkammer vertritt die Gesamtheit der in ihr zusammengeschlossenen Notare. Sie hat für eine rechtmäßige und gewissenhafte Berufsausübung der Notare und Notarassessoren zu sorgen, die Aufsichtsbehörden bei ihrer Tätigkeit zu unterstützen, die Pflege und Anwendung des Notariatsrechts zu fördern und für das Ansehen ihrer Mitglieder einzutreten.</w:t>
      </w:r>
    </w:p>
    <w:p>
      <w:r>
        <w:t xml:space="preserve">(2) Der Notarkammer obliegt es, in Richtlinien die Amtspflichten ihrer Mitglieder im Rahmen der gesetzlichen Vorschriften und der auf deren Grundlage erlassenen Verordnungen durch Satzung näher zu bestimmen. § 66 Abs. 1 Satz 2 gilt entsprechend. Die Richtlinien können nähere Regelungen enthalten:</w:t>
      </w:r>
    </w:p>
    <w:p>
      <w:pPr>
        <w:ind w:left="420"/>
      </w:pPr>
      <w:r>
        <w:t xml:space="preserve">1. zur Wahrung der Unabhängigkeit und Unparteilichkeit des Notars,</w:t>
      </w:r>
    </w:p>
    <w:p>
      <w:pPr>
        <w:ind w:left="420"/>
      </w:pPr>
      <w:r>
        <w:t xml:space="preserve">2. für das nach § 14 Abs. 3 zu beachtende Verhalten,</w:t>
      </w:r>
    </w:p>
    <w:p>
      <w:pPr>
        <w:ind w:left="420"/>
      </w:pPr>
      <w:r>
        <w:t xml:space="preserve">3. zur Wahrung fremder Vermögensinteressen,</w:t>
      </w:r>
    </w:p>
    <w:p>
      <w:pPr>
        <w:ind w:left="420"/>
      </w:pPr>
      <w:r>
        <w:t xml:space="preserve">4. zur Beachtung der Pflicht zur persönlichen Amtsausübung,</w:t>
      </w:r>
    </w:p>
    <w:p>
      <w:pPr>
        <w:ind w:left="420"/>
      </w:pPr>
      <w:r>
        <w:t xml:space="preserve">5. über die Begründung, Führung, Fortführung und Beendigung der Verbindung zur gemeinsamen Berufsausübung oder sonstiger zulässiger beruflicher Zusammenarbeit sowie zur Nutzung gemeinsamer Geschäftsräume,</w:t>
      </w:r>
    </w:p>
    <w:p>
      <w:pPr>
        <w:ind w:left="420"/>
      </w:pPr>
      <w:r>
        <w:t xml:space="preserve">6. über die Art der nach § 28 zu treffenden Vorkehrungen,</w:t>
      </w:r>
    </w:p>
    <w:p>
      <w:pPr>
        <w:ind w:left="420"/>
      </w:pPr>
      <w:r>
        <w:t xml:space="preserve">7. für das nach § 29 zu beachtende Verhalten, insbesondere in Bezug auf die Information über die Amtstätigkeit, das Auftreten in der Öffentlichkeit, die Geschäftspapiere, die Führung von Titeln und weiteren Berufsbezeichnungen, die Führung des Namens in Verzeichnissen sowie die Anbringung von Amts- und Namensschildern im Rahmen landesrechtlicher Bestimmungen,</w:t>
      </w:r>
    </w:p>
    <w:p>
      <w:pPr>
        <w:ind w:left="420"/>
      </w:pPr>
      <w:r>
        <w:t xml:space="preserve">8. für die Beschäftigung und Ausbildung der mitarbeitenden Personen,</w:t>
      </w:r>
    </w:p>
    <w:p>
      <w:pPr>
        <w:ind w:left="420"/>
      </w:pPr>
      <w:r>
        <w:t xml:space="preserve">9. über die bei der Vornahme von Beurkundungen außerhalb des Amtsbereichs und der Geschäftsstelle zu beachtenden Grundsätze,</w:t>
      </w:r>
    </w:p>
    <w:p>
      <w:pPr>
        <w:ind w:left="420"/>
      </w:pPr>
      <w:r>
        <w:t xml:space="preserve">10. über den erforderlichen Umfang der Fortbildung,</w:t>
      </w:r>
    </w:p>
    <w:p>
      <w:pPr>
        <w:ind w:left="420"/>
      </w:pPr>
      <w:r>
        <w:t xml:space="preserve">11. über die Amtspflichten im Verhältnis zu anderen Notaren, zu Notarassessoren, Gerichten, Behörden, Rechtsanwälten und anderen Personen, die Auftraggeber des Notars beraten.</w:t>
      </w:r>
    </w:p>
    <w:p>
      <w:r>
        <w:t xml:space="preserve">(3) Außer den der Notarkammer durch Gesetz zugewiesenen Aufgaben obliegt es ihr,</w:t>
      </w:r>
    </w:p>
    <w:p>
      <w:pPr>
        <w:ind w:left="420"/>
      </w:pPr>
      <w:r>
        <w:t xml:space="preserve">1. Mittel für die berufliche Fortbildung der Notare, ihrer Hilfskräfte und der Notarassessoren sowie für sonstige gemeinsame Lasten des Berufsstandes bereitzustellen;</w:t>
      </w:r>
    </w:p>
    <w:p>
      <w:pPr>
        <w:ind w:left="420"/>
      </w:pPr>
      <w:r>
        <w:t xml:space="preserve">2. die Ausbildung und Prüfung der Hilfskräfte der Notare zu regeln;</w:t>
      </w:r>
    </w:p>
    <w:p>
      <w:pPr>
        <w:ind w:left="420"/>
      </w:pPr>
      <w:r>
        <w:t xml:space="preserve">3. Versicherungsverträge zur Ergänzung der Haftpflichtversicherung nach § 19a abzuschließen, um auch Gefahren aus solchen Amtspflichtverletzungen zu versichern, die nicht durch Versicherungsverträge nach § 19a gedeckt sind, weil die durch sie verursachten Vermögensschäden die Deckungssumme übersteigen oder weil sie als vorsätzliche Handlungen durch die allgemeinen Versicherungsbedingungen vom Versicherungsschutz ausgenommen sind. Für diese Versicherungsverträge gilt, daß die Versicherungssumme für jeden versicherten Notar und für jeden Versicherungsfall mindestens 250 000 Euro für Schäden aus wissentlichen Amtspflichtverletzungen und mindestens 500 000 Euro für Schäden aus sonstigen Amtspflichtverletzungen betragen muß; die Leistungen des Versicherers für alle innerhalb eines Versicherungsjahres von einem Notar verursachten Schäden dürfen jedoch auf den vierfachen Betrag der Mindestversicherungssumme begrenzt werden. § 19a Abs. 7 ist entsprechend anzuwenden. Die Landesregierungen oder die von ihnen durch Rechtsverordnung bestimmten Stellen werden ermächtigt, durch Rechtsverordnung unter Berücksichtigung der möglichen Schäden Beträge zu bestimmen, bis zu denen die Gesamtleistung des Versicherers für alle während eines Versicherungsjahres von allen versicherten Notaren verursachten Schäden in den Versicherungsverträgen begrenzt werden darf;</w:t>
      </w:r>
    </w:p>
    <w:p>
      <w:pPr>
        <w:ind w:left="420"/>
      </w:pPr>
      <w:r>
        <w:t xml:space="preserve">4. Notardaten und technische Zugangsberechtigungen zum Elektronischen Urkundenarchiv und zum Elektronischen Notariatsaktenspeicher zu verwalten;</w:t>
      </w:r>
    </w:p>
    <w:p>
      <w:pPr>
        <w:ind w:left="420"/>
      </w:pPr>
      <w:r>
        <w:t xml:space="preserve">5. die Stellung als Notar oder Notariatsverwalter sowie sonstige amts- oder berufsbezogene Angaben bei der Vergabe von qualifizierten Zertifikaten zu bestätigen; die Notarkammer kann die Sperrung eines entsprechenden qualifizierten Zertifikats verlangen.</w:t>
      </w:r>
    </w:p>
    <w:p>
      <w:r>
        <w:t xml:space="preserve">(4) Die Notarkammer kann weitere, dem Zweck ihrer Errichtung entsprechende Aufgaben wahrnehmen. Sie kann insbesondere</w:t>
      </w:r>
    </w:p>
    <w:p>
      <w:pPr>
        <w:ind w:left="420"/>
      </w:pPr>
      <w:r>
        <w:t xml:space="preserve">1. Fürsorgeeinrichtungen unterhalten,</w:t>
      </w:r>
    </w:p>
    <w:p>
      <w:pPr>
        <w:ind w:left="420"/>
      </w:pPr>
      <w:r>
        <w:t xml:space="preserve">2. nach näherer Regelung durch die Landesgesetzgebung Vorsorgeeinrichtungen unterhalten,</w:t>
      </w:r>
    </w:p>
    <w:p>
      <w:pPr>
        <w:ind w:left="420"/>
      </w:pPr>
      <w:r>
        <w:t xml:space="preserve">3. allein oder gemeinsam mit anderen Notarkammern Einrichtungen unterhalten, deren Zweck darin besteht, als Versicherer die in Absatz 3 Nr. 3 aufgeführten Versicherungsverträge abzuschließen, die Gefahren aus Amtspflichtverletzungen abdecken, die durch vorsätzliche Handlungen von Notaren verursacht worden sind,</w:t>
      </w:r>
    </w:p>
    <w:p>
      <w:pPr>
        <w:ind w:left="420"/>
      </w:pPr>
      <w:r>
        <w:t xml:space="preserve">4. allein oder gemeinsam mit anderen Notarkammern Einrichtungen unterhalten, die ohne rechtliche Verpflichtung Leistungen bei folgenden Schäden ermöglichen:</w:t>
      </w:r>
    </w:p>
    <w:p>
      <w:pPr>
        <w:ind w:left="780"/>
      </w:pPr>
      <w:r>
        <w:t xml:space="preserve">a) Schäden, die durch vorsätzliche Handlungen von Notaren entstehen und die nicht durch Versicherungsverträge nach Absatz 3 Nummer 3 gedeckt sind,</w:t>
      </w:r>
    </w:p>
    <w:p>
      <w:pPr>
        <w:ind w:left="780"/>
      </w:pPr>
      <w:r>
        <w:t xml:space="preserve">b) Schäden, die durch amtlich verwahrte, aber nicht mehr aufzufindende Urkunden entstehen, die nicht durch § 19a oder durch Versicherungsverträge nach Absatz 3 Nummer 3 gedeckt sind und für die der Geschädigte auf keine andere zumutbare Weise Ersatz erlangen kann, wobei die Höhe der Leistungen auf 500 000 Euro je Urkunde beschränkt ist.</w:t>
      </w:r>
    </w:p>
    <w:p>
      <w:r>
        <w:t xml:space="preserve">(5) Die Notarkammer hat ferner Gutachten zu erstatten, die die Landesjustizverwaltung, ein Gericht oder eine Verwaltungsbehörde des Landes in Angelegenheiten der Notare anfordert.</w:t>
      </w:r>
    </w:p>
    <w:p>
      <w:r>
        <w:t xml:space="preserve">(6) Die Landesjustizverwaltung benachrichtigt die Notarkammer jeweils unter Angabe der maßgeblichen Zeitpunkte unverzüglich über</w:t>
      </w:r>
    </w:p>
    <w:p>
      <w:pPr>
        <w:ind w:left="420"/>
      </w:pPr>
      <w:r>
        <w:t xml:space="preserve">1. die Bestellung eines Notars, einer Notarvertretung oder eines Notariatsverwalters,</w:t>
      </w:r>
    </w:p>
    <w:p>
      <w:pPr>
        <w:ind w:left="420"/>
      </w:pPr>
      <w:r>
        <w:t xml:space="preserve">2. das Erlöschen des Amtes eines Notars oder Notariatsverwalters und den Widerruf der Bestellung einer Notarvertretung,</w:t>
      </w:r>
    </w:p>
    <w:p>
      <w:pPr>
        <w:ind w:left="420"/>
      </w:pPr>
      <w:r>
        <w:t xml:space="preserve">3. eine Entscheidung nach § 8 Absatz 1 Satz 2,</w:t>
      </w:r>
    </w:p>
    <w:p>
      <w:pPr>
        <w:ind w:left="420"/>
      </w:pPr>
      <w:r>
        <w:t xml:space="preserve">4. eine vorläufige Amtsenthebung,</w:t>
      </w:r>
    </w:p>
    <w:p>
      <w:pPr>
        <w:ind w:left="420"/>
      </w:pPr>
      <w:r>
        <w:t xml:space="preserve">5. die Verlegung eines Amtssitzes eines Notars,</w:t>
      </w:r>
    </w:p>
    <w:p>
      <w:pPr>
        <w:ind w:left="420"/>
      </w:pPr>
      <w:r>
        <w:t xml:space="preserve">6. Änderungen der Verwahrzuständigkeit nach § 51 Absatz 1 Satz 2 und Absatz 3.</w:t>
      </w:r>
    </w:p>
    <w:p>
      <w:r>
        <w:t xml:space="preserve">(7) (weggefallen)</w:t>
      </w:r>
    </w:p>
    <w:p>
      <w:r>
        <w:rPr>
          <w:color w:val="555555"/>
          <w:sz w:val="17"/>
        </w:rPr>
        <w:t xml:space="preserve">Zitiervorschlag: § 67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