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64d BNotO — Übermittlung von Daten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Gerichte und Behörden einschließlich der Berufskammern übermitteln der für die Entscheidung zuständigen Stelle diejenigen Daten über Personen, deren Kenntnis aus der Sicht der übermittelnden Stelle erforderlich ist für</w:t>
      </w:r>
    </w:p>
    <w:p>
      <w:pPr>
        <w:ind w:left="420"/>
      </w:pPr>
      <w:r>
        <w:t xml:space="preserve">1. die Bestellung zum Notar, seine vorläufige Amtsenthebung oder das Erlöschen seines Amtes,</w:t>
      </w:r>
    </w:p>
    <w:p>
      <w:pPr>
        <w:ind w:left="420"/>
      </w:pPr>
      <w:r>
        <w:t xml:space="preserve">2. die Bestellung zur Notarvertretung oder zum Notariatsverwalter oder deren Widerruf,</w:t>
      </w:r>
    </w:p>
    <w:p>
      <w:pPr>
        <w:ind w:left="420"/>
      </w:pPr>
      <w:r>
        <w:t xml:space="preserve">3. die Ernennung zum Notarassessor oder dessen Entlassung aus dem Dienst,</w:t>
      </w:r>
    </w:p>
    <w:p>
      <w:pPr>
        <w:ind w:left="420"/>
      </w:pPr>
      <w:r>
        <w:t xml:space="preserve">4. die Rücknahme oder den Widerruf einer Erlaubnis, Genehmigung oder Befreiung oder</w:t>
      </w:r>
    </w:p>
    <w:p>
      <w:pPr>
        <w:ind w:left="420"/>
      </w:pPr>
      <w:r>
        <w:t xml:space="preserve">5. die Einleitung oder Durchführung eines wegen einer Amtspflichtverletzung zu führenden Verfahrens.</w:t>
      </w:r>
    </w:p>
    <w:p>
      <w:r>
        <w:t xml:space="preserve">(2) Die Übermittlung unterbleibt, soweit</w:t>
      </w:r>
    </w:p>
    <w:p>
      <w:pPr>
        <w:ind w:left="420"/>
      </w:pPr>
      <w:r>
        <w:t xml:space="preserve">1. sie schutzwürdige Interessen einer betroffenen Person beeinträchtigen würde und das Informationsinteresse des Empfängers das Interesse der betroffenen Person an dem Unterbleiben der Übermittlung nicht überwiegt oder</w:t>
      </w:r>
    </w:p>
    <w:p>
      <w:pPr>
        <w:ind w:left="420"/>
      </w:pPr>
      <w:r>
        <w:t xml:space="preserve">2. besondere gesetzliche Verwendungsregelungen entgegenstehen.</w:t>
      </w:r>
    </w:p>
    <w:p>
      <w:r>
        <w:t xml:space="preserve">Satz 1 Nummer 2 gilt nicht für die Verschwiegenheitspflichten der für eine Berufskammer eines freien Berufs im Geltungsbereich dieses Gesetzes tätigen Personen und für das Steuergeheimnis nach § 30 der Abgabenordnung.</w:t>
      </w:r>
    </w:p>
    <w:p>
      <w:r>
        <w:rPr>
          <w:color w:val="555555"/>
          <w:sz w:val="17"/>
        </w:rPr>
        <w:t xml:space="preserve">Zitiervorschlag: § 64d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