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64c BNotO — Ersetzung der Schriftform</w:t>
      </w:r>
    </w:p>
    <w:p>
      <w:r>
        <w:rPr>
          <w:color w:val="555555"/>
          <w:sz w:val="18"/>
        </w:rPr>
        <w:t xml:space="preserve">Bundesnotarordnung</w:t>
      </w:r>
    </w:p>
    <w:p>
      <w:r>
        <w:rPr>
          <w:color w:val="555555"/>
          <w:sz w:val="18"/>
        </w:rPr>
        <w:t xml:space="preserve">Stand: 01.01.2025 (konsolidierte Textfassung, kein amtliches Inkrafttretensdatum)</w:t>
      </w:r>
    </w:p>
    <w:p>
      <w:r>
        <w:t xml:space="preserve">Ist nach diesem Gesetz oder einer aufgrund dieses Gesetzes erlassenen Rechtsverordnung für die Abgabe einer Erklärung die Schriftform vorgeschrieben, so kann die Erklärung auch über das besondere elektronische Notarpostfach abgegeben werden, wenn Erklärender und Empfänger über ein solches verfügen. Ist die Erklärung von einer natürlichen Person abzugeben, so ist das Dokument mit einer qualifizierten elektronischen Signatur der Person zu versehen oder von ihr zu signieren und selbst zu versenden. Ein besonderes elektronisches Behördenpostfach steht dem besonderen elektronischen Notarpostfach nach Satz 1 gleich.</w:t>
      </w:r>
    </w:p>
    <w:p>
      <w:r>
        <w:rPr>
          <w:color w:val="555555"/>
          <w:sz w:val="17"/>
        </w:rPr>
        <w:t xml:space="preserve">Zitiervorschlag: § 64c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