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BNotO — Vergütung; Abrechnung mit der Notarkammer</w:t>
      </w:r>
    </w:p>
    <w:p>
      <w:r>
        <w:rPr>
          <w:color w:val="555555"/>
          <w:sz w:val="18"/>
        </w:rPr>
        <w:t xml:space="preserve">Bundesnotarordnung</w:t>
      </w:r>
    </w:p>
    <w:p>
      <w:r>
        <w:rPr>
          <w:color w:val="555555"/>
          <w:sz w:val="18"/>
        </w:rPr>
        <w:t xml:space="preserve">Stand: 01.08.2021 (konsolidierte Textfassung, kein amtliches Inkrafttretensdatum)</w:t>
      </w:r>
    </w:p>
    <w:p>
      <w:r>
        <w:t xml:space="preserve">(1) Der Notariatsverwalter führt sein Amt auf Rechnung der Notarkammer gegen eine von dieser festzusetzende angemessene Vergütung. Er hat mit der Notarkammer, soweit nicht eine andere Abrede getroffen wird, monatlich abzurechnen. Führt er die der Notarkammer zukommenden Beträge nicht ab, so können diese wie rückständige Beiträge beigetrieben werden.</w:t>
      </w:r>
    </w:p>
    <w:p>
      <w:r>
        <w:t xml:space="preserve">(2) Die Notarkammer kann ein Aufrechnungs- oder Zurückbehaltungsrecht an den Bezügen des Notariatsverwalters nur insoweit geltend machen, als diese pfändbar sind oder als sie einen Anspruch auf Schadensersatz wegen vorsätzlicher unerlaubter Handlung hat.</w:t>
      </w:r>
    </w:p>
    <w:p>
      <w:r>
        <w:t xml:space="preserve">(3) Die Notarkammer kann allgemein oder im Einzelfall eine von Absatz 1 Satz 1 und 2 abweichende Regelung treffen. Absatz 2 ist in diesem Fall nicht anwendbar.</w:t>
      </w:r>
    </w:p>
    <w:p>
      <w:r>
        <w:rPr>
          <w:color w:val="555555"/>
          <w:sz w:val="17"/>
        </w:rPr>
        <w:t xml:space="preserve">Zitiervorschlag: § 59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