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52 BNotO — Weiterführung der Amtsbezeichnung</w:t>
      </w:r>
    </w:p>
    <w:p>
      <w:r>
        <w:rPr>
          <w:color w:val="555555"/>
          <w:sz w:val="18"/>
        </w:rPr>
        <w:t xml:space="preserve">Bundesnotarordnung</w:t>
      </w:r>
    </w:p>
    <w:p>
      <w:r>
        <w:rPr>
          <w:color w:val="555555"/>
          <w:sz w:val="18"/>
        </w:rPr>
        <w:t xml:space="preserve">Stand: 01.08.2021 (konsolidierte Textfassung, kein amtliches Inkrafttretensdatum)</w:t>
      </w:r>
    </w:p>
    <w:p>
      <w:r>
        <w:t xml:space="preserve">(1) Mit dem Erlöschen des Amtes erlischt die Befugnis, die Amtsbezeichnung „Notarin“ oder „Notar“ zu führen. Die Amtsbezeichnung darf auch nicht mit einem auf das Erlöschen des Amtes hinweisenden Zusatz geführt werden.</w:t>
      </w:r>
    </w:p>
    <w:p>
      <w:r>
        <w:t xml:space="preserve">(2) Ist das Amt eines Notars aus den in § 47 Nummer 1 bis 4 bezeichneten Gründen mit Ausnahme des Todes oder durch Amtsenthebung aus den in § 50 Absatz 1 Nummer 7 bezeichneten Gründen erloschen, so kann die Landesjustizverwaltung dem früheren Notar die Erlaubnis erteilen, seine Amtsbezeichnung mit dem Zusatz „außer Dienst“ weiterzuführen, der auch „a. D.“ abgekürzt werden kann. Einem Anwaltsnotar darf diese Erlaubnis nur erteilt werden, wenn er weiterhin seine anwaltliche Berufsbezeichnung führen darf.</w:t>
      </w:r>
    </w:p>
    <w:p>
      <w:r>
        <w:t xml:space="preserve">(3) Die Landesjustizverwaltung kann die Erlaubnis zum Führen der Bezeichnung „Notarin außer Dienst“ oder „Notar außer Dienst“ zurücknehmen oder widerrufen, wenn nachträglich Umstände bekannt werden oder eintreten, die bei einem Notar das Erlöschen des Amtes aus den in § 47 Nummer 5 bis 7 bezeichneten Gründen nach sich ziehen würden. Ausgenommen hiervon ist eine Rücknahme oder ein Widerruf aus den in § 50 Absatz 1 Nummer 7 bezeichneten Gründen. Bei einem Anwaltsnotar erlischt die Erlaubnis zum Führen der Bezeichnung zudem, wenn er seine anwaltliche Berufsbezeichnung nicht mehr führen darf. Ist die Erlaubnis nach Satz 3 erloschen, kann sie wieder erteilt werden, wenn die anwaltliche Berufsbezeichnung wieder geführt werden darf.</w:t>
      </w:r>
    </w:p>
    <w:p>
      <w:r>
        <w:rPr>
          <w:color w:val="555555"/>
          <w:sz w:val="17"/>
        </w:rPr>
        <w:t xml:space="preserve">Zitiervorschlag: § 52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https://recht.nulegal.eu/gesetze/BNotO/52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