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51a BNotO — Ablieferung verwahrter Gegenstände</w:t>
      </w:r>
    </w:p>
    <w:p>
      <w:r>
        <w:rPr>
          <w:color w:val="555555"/>
          <w:sz w:val="18"/>
        </w:rPr>
        <w:t xml:space="preserve">Bundesnotarordnung</w:t>
      </w:r>
    </w:p>
    <w:p>
      <w:r>
        <w:rPr>
          <w:color w:val="555555"/>
          <w:sz w:val="18"/>
        </w:rPr>
        <w:t xml:space="preserve">Stand: 01.01.2022 (konsolidierte Textfassung, kein amtliches Inkrafttretensdatum)</w:t>
      </w:r>
    </w:p>
    <w:p>
      <w:r>
        <w:t xml:space="preserve">(1) In den Fällen des § 51 Absatz 1 ist der Notar verpflichtet, die Akten und Verzeichnisse sowie die ihm amtlich übergebenen Urkunden und Wertgegenstände bei der für die Verwahrung zuständigen Stelle abzuliefern und ihr den Zugang zu den elektronisch geführten Akten und Verzeichnissen zu ermöglichen. Stempel und Siegel hat der Notar bei dem Präsidenten des Landgerichts abzuliefern. Die Aufsichtsbehörde kann die Ablieferung der in den Sätzen 1 und 2 genannten Gegenstände anordnen. Widerspruch und Anfechtungsklage gegen die Anordnung der Ablieferung haben keine aufschiebende Wirkung.</w:t>
      </w:r>
    </w:p>
    <w:p>
      <w:r>
        <w:t xml:space="preserve">(2) Die Ablieferung der Akten und Verzeichnisse sowie der amtlich übergebenen Urkunden und Wertgegenstände nach Absatz 1 Satz 1 hat geordnet und in einem zur Aufbewahrung geeigneten Zustand zu erfolgen. Liefert der Notar Akten, Verzeichnisse und die ihm amtlich übergebenen Urkunden oder Wertgegenstände nicht in einem geordneten und zur Aufbewahrung geeigneten Zustand ab, so kann die zuständige Stelle diese auf Kosten des Notars einem geordneten und zur Aufbewahrung geeigneten Zustand zuführen. Satz 2 gilt entsprechend für die Vernichtung oder Löschung von Akten und Verzeichnissen, deren Aufbewahrungsfrist bereits vor dem Übergang der Verwahrungszuständigkeit abgelaufen war.</w:t>
      </w:r>
    </w:p>
    <w:p>
      <w:r>
        <w:t xml:space="preserve">(3) Die für die Verwahrung zuständige Stelle ist nicht verpflichtet, die Vollständigkeit der abgelieferten Akten und Verzeichnisse sowie der dem Notar amtlich übergebenen Urkunden zu überprüfen.</w:t>
      </w:r>
    </w:p>
    <w:p>
      <w:r>
        <w:rPr>
          <w:color w:val="555555"/>
          <w:sz w:val="17"/>
        </w:rPr>
        <w:t xml:space="preserve">Zitiervorschlag: § 51a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https://recht.nulegal.eu/gesetze/BNotO/51a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