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48b BNotO — Antrag auf Verlängerung der Amtszeit bei Anwaltsnotaren</w:t>
      </w:r>
    </w:p>
    <w:p>
      <w:r>
        <w:rPr>
          <w:color w:val="555555"/>
          <w:sz w:val="18"/>
        </w:rPr>
        <w:t xml:space="preserve">Bundesnotarordnung</w:t>
      </w:r>
    </w:p>
    <w:p>
      <w:r>
        <w:rPr>
          <w:color w:val="555555"/>
          <w:sz w:val="18"/>
        </w:rPr>
        <w:t xml:space="preserve">Stand: 01.07.2026 (konsolidierte Textfassung, kein amtliches Inkrafttretensdatum)</w:t>
      </w:r>
    </w:p>
    <w:p>
      <w:r>
        <w:t xml:space="preserve">(1) Auf Antrag eines Anwaltsnotars kann die Amtszeit nach dem Erreichen der Altersgrenze zweimal um einen Zeitraum von jeweils 3 Jahren verlängert werden.</w:t>
      </w:r>
    </w:p>
    <w:p>
      <w:r>
        <w:t xml:space="preserve">(2) Ein Antrag auf eine erste Verlängerung ist spätestens 18 Monate vor dem Erreichen der Altersgrenze zu stellen. Ein Antrag auf eine zweite Verlängerung ist frühestens nach dem Beginn der ersten verlängerten Amtszeit und spätestens 18 Monate vor deren Ablauf zu stellen. Über Anträge nach den Sätzen 1 und 2 ist eine Eingangsnachricht zu erteilen.</w:t>
      </w:r>
    </w:p>
    <w:p>
      <w:r>
        <w:t xml:space="preserve">(3) Zu Anträgen auf Verlängerung ist der Notarkammer Gelegenheit zur Stellungnahme zu geben.</w:t>
      </w:r>
    </w:p>
    <w:p>
      <w:r>
        <w:t xml:space="preserve">(4) Eine erste verlängerte Amtszeit endet mit Ablauf des Monats, in dem der Anwaltsnotar das 73. Lebensjahr vollendet. Eine zweite verlängerte Amtszeit endet mit Ablauf des Monats, in dem der Anwaltsnotar das 76. Lebensjahr vollendet. Die Sätze 1 und 2 gelten unabhängig vom Zeitpunkt der Bekanntgabe der Entscheidung gegenüber dem Antragsteller. § 48c Absatz 3 Satz 2 bleibt unberührt.</w:t>
      </w:r>
    </w:p>
    <w:p>
      <w:r>
        <w:rPr>
          <w:color w:val="555555"/>
          <w:sz w:val="17"/>
        </w:rPr>
        <w:t xml:space="preserve">Zitiervorschlag: § 48b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https://recht.nulegal.eu/gesetze/BNotO/48b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