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BNotO — Erlöschen des Amtes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Amt des Notars erlischt durch</w:t>
      </w:r>
    </w:p>
    <w:p>
      <w:pPr>
        <w:ind w:left="420"/>
      </w:pPr>
      <w:r>
        <w:t xml:space="preserve">1. Entlassung aus dem Amt (§ 48),</w:t>
      </w:r>
    </w:p>
    <w:p>
      <w:pPr>
        <w:ind w:left="420"/>
      </w:pPr>
      <w:r>
        <w:t xml:space="preserve">2. Erreichen der Altersgrenze (§ 48a), sofern nicht ein Fall der §§ 48b und 48c vorliegt, oder Tod,</w:t>
      </w:r>
    </w:p>
    <w:p>
      <w:pPr>
        <w:ind w:left="420"/>
      </w:pPr>
      <w:r>
        <w:t xml:space="preserve">3. Amtsniederlegung (§§ 48d und 48e),</w:t>
      </w:r>
    </w:p>
    <w:p>
      <w:pPr>
        <w:ind w:left="420"/>
      </w:pPr>
      <w:r>
        <w:t xml:space="preserve">4. bestandskräftigen Wegfall der Mitgliedschaft in einer Rechtsanwaltskammer im Fall des § 3 Absatz 2,</w:t>
      </w:r>
    </w:p>
    <w:p>
      <w:pPr>
        <w:ind w:left="420"/>
      </w:pPr>
      <w:r>
        <w:t xml:space="preserve">5. rechtskräftige strafgerichtliche Verurteilung, die einen Amtsverlust (§ 49) zur Folge hat,</w:t>
      </w:r>
    </w:p>
    <w:p>
      <w:pPr>
        <w:ind w:left="420"/>
      </w:pPr>
      <w:r>
        <w:t xml:space="preserve">6. bestandskräftige Amtsenthebung (§ 50),</w:t>
      </w:r>
    </w:p>
    <w:p>
      <w:pPr>
        <w:ind w:left="420"/>
      </w:pPr>
      <w:r>
        <w:t xml:space="preserve">7. rechtskräftiges disziplinargerichtliches Urteil, in dem auf Entfernung aus dem Amt (§ 97 Absatz 1 Satz 1 Nummer 3, Absatz 3) erkannt worden ist.</w:t>
      </w:r>
    </w:p>
    <w:p>
      <w:r>
        <w:rPr>
          <w:color w:val="555555"/>
          <w:sz w:val="17"/>
        </w:rPr>
        <w:t xml:space="preserve">Zitiervorschlag: § 47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