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BNotO — Verordnungsermächtigung zu Akten und Verzeichnissen</w:t>
      </w:r>
    </w:p>
    <w:p>
      <w:r>
        <w:rPr>
          <w:color w:val="555555"/>
          <w:sz w:val="18"/>
        </w:rPr>
        <w:t xml:space="preserve">Bundesnotarordnung</w:t>
      </w:r>
    </w:p>
    <w:p>
      <w:r>
        <w:rPr>
          <w:color w:val="555555"/>
          <w:sz w:val="18"/>
        </w:rPr>
        <w:t xml:space="preserve">Stand: 01.08.2021 (konsolidierte Textfassung, kein amtliches Inkrafttretensdatum)</w:t>
      </w:r>
    </w:p>
    <w:p>
      <w:r>
        <w:t xml:space="preserve">(1) Das Bundesministerium der Justiz und für Verbraucherschutz hat durch Rechtsverordnung mit Zustimmung des Bundesrates die näheren Bestimmungen zu treffen über die vom Notar zu führenden Akten und Verzeichnisse, über deren Inhalt sowie die Art und Weise ihrer Führung. Insbesondere sind darin nähere Bestimmungen zu treffen über</w:t>
      </w:r>
    </w:p>
    <w:p>
      <w:pPr>
        <w:ind w:left="420"/>
      </w:pPr>
      <w:r>
        <w:t xml:space="preserve">1. die vom Notar zu den Akten zu nehmenden Unterlagen sowie die in die Verzeichnisse einzutragenden Angaben einschließlich der zu erhebenden Daten und der insoweit zu beachtenden Fristen,</w:t>
      </w:r>
    </w:p>
    <w:p>
      <w:pPr>
        <w:ind w:left="420"/>
      </w:pPr>
      <w:r>
        <w:t xml:space="preserve">2. die Aufbewahrungsfristen,</w:t>
      </w:r>
    </w:p>
    <w:p>
      <w:pPr>
        <w:ind w:left="420"/>
      </w:pPr>
      <w:r>
        <w:t xml:space="preserve">3. die Einzelheiten der elektronischen Führung von Akten und Verzeichnissen nach § 35 Absatz 2 sowie über die Maßnahmen zur Gewährleistung der Vertraulichkeit, der Integrität, der Transparenz und der Verfügbarkeit auch über die Amtszeit des Notars hinaus einschließlich der zulässigen Datenformate sowie der Schnittstellen und der Datenverknüpfungen zwischen den Akten und Verzeichnissen,</w:t>
      </w:r>
    </w:p>
    <w:p>
      <w:pPr>
        <w:ind w:left="420"/>
      </w:pPr>
      <w:r>
        <w:t xml:space="preserve">4. die Voraussetzungen, unter denen die durch oder auf Grund eines Gesetzes vorgesehene Übertragung eines in Papierform vorliegenden Schriftstücks in die elektronische Form unterbleiben kann.</w:t>
      </w:r>
    </w:p>
    <w:p>
      <w:r>
        <w:t xml:space="preserve">Bei der Bemessung der Aufbewahrungsfristen nach Satz 2 Nummer 2 ist insbesondere der Zweck der Verfügbarkeit der Akten und Verzeichnisse im Hinblick auf die Bedürfnisse einer geordneten Rechtspflege sowie der Umstand zu berücksichtigen, dass bei Amtshaftungsansprüchen die Möglichkeit der Sachaufklärung gegeben bleibt.</w:t>
      </w:r>
    </w:p>
    <w:p>
      <w:r>
        <w:t xml:space="preserve">(2) Die Rechtsverordnung kann vorsehen, dass neben den für das Auffinden von Urkunden erforderlichen Eintragungen weitere Angaben in das Urkundenverzeichnis eingetragen werden können oder sollen. Sie kann zudem nähere Bestimmungen treffen über die Verwendung der im Urkundenverzeichnis gespeicherten Daten</w:t>
      </w:r>
    </w:p>
    <w:p>
      <w:pPr>
        <w:ind w:left="420"/>
      </w:pPr>
      <w:r>
        <w:t xml:space="preserve">1. im elektronischen Rechtsverkehr mit Gerichten, Behörden und Dritten,</w:t>
      </w:r>
    </w:p>
    <w:p>
      <w:pPr>
        <w:ind w:left="420"/>
      </w:pPr>
      <w:r>
        <w:t xml:space="preserve">2. zur Führung anderer Akten und Verzeichnisse des Notars sowie</w:t>
      </w:r>
    </w:p>
    <w:p>
      <w:pPr>
        <w:ind w:left="420"/>
      </w:pPr>
      <w:r>
        <w:t xml:space="preserve">3. für die Zwecke der Aufsicht.</w:t>
      </w:r>
    </w:p>
    <w:p>
      <w:r>
        <w:rPr>
          <w:color w:val="555555"/>
          <w:sz w:val="17"/>
        </w:rPr>
        <w:t xml:space="preserve">Zitiervorschlag: § 36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