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BNotO — Meldepflichten</w:t>
      </w:r>
    </w:p>
    <w:p>
      <w:r>
        <w:rPr>
          <w:color w:val="555555"/>
          <w:sz w:val="18"/>
        </w:rPr>
        <w:t xml:space="preserve">Bundesnotarordnung</w:t>
      </w:r>
    </w:p>
    <w:p>
      <w:r>
        <w:rPr>
          <w:color w:val="555555"/>
          <w:sz w:val="18"/>
        </w:rPr>
        <w:t xml:space="preserve">Stand: 31.12.2025 (konsolidierte Textfassung, kein amtliches Inkrafttretensdatum)</w:t>
      </w:r>
    </w:p>
    <w:p>
      <w:r>
        <w:t xml:space="preserve">Der Notar hat der Aufsichtsbehörde sowie derjenigen Notarkammer, in deren Bezirk er seinen Amtssitz hat, unverzüglich mitzuteilen, wenn er feststellt oder begründeten Anlass zu der Annahme hat, dass</w:t>
      </w:r>
    </w:p>
    <w:p>
      <w:pPr>
        <w:ind w:left="420"/>
      </w:pPr>
      <w:r>
        <w:t xml:space="preserve">1. sein Amtssiegel dauerhaft oder zeitweise abhandengekommen ist oder missbraucht wurde oder eine Fälschung seines Amtssiegels im Umlauf ist,</w:t>
      </w:r>
    </w:p>
    <w:p>
      <w:pPr>
        <w:ind w:left="420"/>
      </w:pPr>
      <w:r>
        <w:t xml:space="preserve">2. seine qualifizierte elektronische Signaturerstellungseinheit abhandengekommen ist, missbraucht oder manipuliert wurde oder Wissensdaten zur Identifikation des Notars gegenüber der qualifizierten elektronischen Signaturerstellungseinheit einer anderen Person bekannt geworden sind,</w:t>
      </w:r>
    </w:p>
    <w:p>
      <w:pPr>
        <w:ind w:left="420"/>
      </w:pPr>
      <w:r>
        <w:t xml:space="preserve">3. Wissensdaten oder andere Vorkehrungen, die zum Schutz des Zentralen Vorsorgeregisters, des Zentralen Testamentsregisters, des Elektronischen Urkundenarchivs, des Elektronischen Notariatsaktenspeichers, des besonderen elektronischen Notariatspostfachs, des Videokommunikationssystems für Urkundstätigkeiten oder des Signatursystems nach § 78 Absatz 1 Satz 2 Nummer 11 vor unbefugtem Zugang vorgesehen sind, missbraucht, manipuliert oder Unbefugten zugänglich geworden sind.</w:t>
      </w:r>
    </w:p>
    <w:p>
      <w:r>
        <w:t xml:space="preserve">Im Fall des Satzes 1 Nummer 2 hat der Notar außerdem unverzüglich eine Sperrung des qualifizierten Zertifikats bei dem Vertrauensdiensteanbieter zu veranlassen und den Nachweis über die Sperrung mit der Mitteilung nach Satz 1 vorzulegen. Im Fall des Satzes 1 Nummer 3 hat die Notarkammer unverzüglich die Bundesnotarkammer zu unterrichten, wenn die Sicherheit der dort genannten Einrichtungen auch im Hinblick auf die von anderen Stellen übermittelten oder verwahrten Daten betroffen sein könnte.</w:t>
      </w:r>
    </w:p>
    <w:p>
      <w:r>
        <w:rPr>
          <w:color w:val="555555"/>
          <w:sz w:val="17"/>
        </w:rPr>
        <w:t xml:space="preserve">Zitiervorschlag: § 34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