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BNotO — Werbeverbot</w:t>
      </w:r>
    </w:p>
    <w:p>
      <w:r>
        <w:rPr>
          <w:color w:val="555555"/>
          <w:sz w:val="18"/>
        </w:rPr>
        <w:t xml:space="preserve">Bundesnotarordnung</w:t>
      </w:r>
    </w:p>
    <w:p>
      <w:r>
        <w:rPr>
          <w:color w:val="555555"/>
          <w:sz w:val="18"/>
        </w:rPr>
        <w:t xml:space="preserve">Stand: 01.08.2021 (konsolidierte Textfassung, kein amtliches Inkrafttretensdatum)</w:t>
      </w:r>
    </w:p>
    <w:p>
      <w:r>
        <w:t xml:space="preserve">(1) Der Notar hat jedes gewerbliche Verhalten, insbesondere eine dem öffentlichen Amt widersprechende Werbung zu unterlassen.</w:t>
      </w:r>
    </w:p>
    <w:p>
      <w:r>
        <w:t xml:space="preserve">(2) Ist ein dem Notar in Ausübung seiner Tätigkeiten nach § 8 erlaubtes Auftreten mit den Maßstäben des Absatzes 1 nicht zu vereinbaren, so ist es von seinem Auftreten als Notar zu trennen. Enthält ein Auftreten im Sinne des Satzes 1 Hinweise auf die notarielle Tätigkeit, so ist deutlich zu machen, dass es sich nicht auf die notarielle Tätigkeit bezieht.</w:t>
      </w:r>
    </w:p>
    <w:p>
      <w:r>
        <w:t xml:space="preserve">(3) Ein Anwaltsnotar, der sich nach § 9 Absatz 2 mit nicht an seinem Amtssitz tätigen Personen verbunden hat oder der weitere Kanzleien oder Zweigstellen unterhält, darf auf Geschäftspapieren, in Verzeichnissen, in der Werbung und auf nicht an einer Geschäftsstelle befindlichen Geschäftsschildern seine Amtsbezeichnung als Notar nur unter Hinweis auf seinen Amtssitz angeben. Der Hinweis muss der Amtsbezeichnung unmittelbar nachfolgen, ihr im Erscheinungsbild entsprechen und das Wort „Amtssitz“ enthalten. Satz 1 gilt nicht, soweit die Geschäftspapiere, die Verzeichnisse oder die Werbung keinen Hinweis auf die Verbindung nach § 9 Absatz 2 oder weitere Kanzleien oder Zweigstellen enthalten.</w:t>
      </w:r>
    </w:p>
    <w:p>
      <w:r>
        <w:t xml:space="preserve">(4) Amts- und Namensschilder dürfen nur an Geschäftsstellen geführt werden.</w:t>
      </w:r>
    </w:p>
    <w:p>
      <w:r>
        <w:rPr>
          <w:color w:val="555555"/>
          <w:sz w:val="17"/>
        </w:rPr>
        <w:t xml:space="preserve">Zitiervorschlag: § 29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