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BNotO — Anzeigepflicht bei Verbindung zur gemeinsamen Berufsausübung</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hat eine Verbindung zur gemeinsamen Berufsausübung oder zur gemeinsamen Nutzung der Geschäftsräume unverzüglich der Aufsichtsbehörde und der Notarkammer anzuzeigen. Diese Anzeigepflicht gilt auch für berufliche Verbindungen im Sinne von § 3 Abs. 1 Satz 1 Nr. 7 des Beurkundungsgesetzes. Anzuzeigen sind Name, Beruf, weitere berufliche Tätigkeiten und Tätigkeitsort der Beteiligten. § 9 bleibt unberührt.</w:t>
      </w:r>
    </w:p>
    <w:p>
      <w:r>
        <w:t xml:space="preserve">(2) Auf Anforderung hat der Notar der Aufsichtsbehörde und der Notarkammer die Vereinbarung über die gemeinsame Berufsausübung oder die gemeinsame Nutzung der Geschäftsräume vorzulegen.</w:t>
      </w:r>
    </w:p>
    <w:p>
      <w:r>
        <w:rPr>
          <w:color w:val="555555"/>
          <w:sz w:val="17"/>
        </w:rPr>
        <w:t xml:space="preserve">Zitiervorschlag: § 27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