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18d BNotO — Kosten des Zugangs zu Forschungszwecken</w:t>
      </w:r>
    </w:p>
    <w:p>
      <w:r>
        <w:rPr>
          <w:color w:val="555555"/>
          <w:sz w:val="18"/>
        </w:rPr>
        <w:t xml:space="preserve">Bundesnotarordnung</w:t>
      </w:r>
    </w:p>
    <w:p>
      <w:r>
        <w:rPr>
          <w:color w:val="555555"/>
          <w:sz w:val="18"/>
        </w:rPr>
        <w:t xml:space="preserve">Stand: 01.08.2021 (konsolidierte Textfassung, kein amtliches Inkrafttretensdatum)</w:t>
      </w:r>
    </w:p>
    <w:p>
      <w:r>
        <w:t xml:space="preserve">(1) Für den Zugang zu Inhalten notarieller Urkunden und Verzeichnisse zu Forschungszwecken werden Gebühren nach dem Gebührenverzeichnis der Anlage 1 erhoben. Soweit die einen Kostentatbestand auslösende Amtshandlung von einem Notar oder einer Notarkammer vorgenommen wurde, sind bundesrechtliche oder landesrechtliche Vorschriften, durch die eine sachliche oder persönliche Befreiung von Kosten gewährt wird, nicht anzuwenden. Im Übrigen sind mit Ausnahme des dortigen § 4 Absatz 2 Satz 1 die Vorschriften des Justizverwaltungskostengesetzes entsprechend anzuwenden.</w:t>
      </w:r>
    </w:p>
    <w:p>
      <w:r>
        <w:t xml:space="preserve">(2) Die Kosten werden von der Landesjustizverwaltung angesetzt. Soweit die einen Kostentatbestand auslösende Amtshandlung von einem Notar oder einer Notarkammer vorgenommen wurde, führt die Landesjustizverwaltung die hierfür vereinnahmten Kosten an die vornehmende Stelle ab. Soweit die vornehmende Stelle auf die Kosten Umsatzsteuer zu entrichten hat, ist diese mit anzusetzen.</w:t>
      </w:r>
    </w:p>
    <w:p>
      <w:r>
        <w:rPr>
          <w:color w:val="555555"/>
          <w:sz w:val="17"/>
        </w:rPr>
        <w:t xml:space="preserve">Zitiervorschlag: § 18d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