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18c BNotO — Schutz von Inhalten beim Zugang zu Forschungszwecken</w:t>
      </w:r>
    </w:p>
    <w:p>
      <w:r>
        <w:rPr>
          <w:color w:val="555555"/>
          <w:sz w:val="18"/>
        </w:rPr>
        <w:t xml:space="preserve">Bundesnotarordnung</w:t>
      </w:r>
    </w:p>
    <w:p>
      <w:r>
        <w:rPr>
          <w:color w:val="555555"/>
          <w:sz w:val="18"/>
        </w:rPr>
        <w:t xml:space="preserve">Stand: 01.08.2021 (konsolidierte Textfassung, kein amtliches Inkrafttretensdatum)</w:t>
      </w:r>
    </w:p>
    <w:p>
      <w:r>
        <w:t xml:space="preserve">(1) Forschende haben diejenigen ihnen zu Forschungszwecken zugänglich gemachten Inhalte notarieller Urkunden und Verzeichnisse, die der Verschwiegenheitspflicht nach § 18 unterliegen, gegen unbefugte Kenntnisnahme zu schützen. Sie haben die an dem Forschungsvorhaben mitwirkenden Personen, die Zugang zu solchen Inhalten erhalten sollen, in Textform zur Verschwiegenheit zu verpflichten und auf die Strafbarkeit einer Pflichtverletzung hinzuweisen. Inhalte im Sinne des Satzes 1 sind zu vernichten, sobald sie für das Forschungsvorhaben nicht mehr benötigt werden.</w:t>
      </w:r>
    </w:p>
    <w:p>
      <w:r>
        <w:t xml:space="preserve">(2) Inhalte im Sinne des Absatzes 1 Satz 1 dürfen nur für das Forschungsvorhaben verwendet werden, für das der Zugang gewährt worden ist. Die Verwendung für andere Forschungsvorhaben bedarf der vorherigen Zustimmung der Landesjustizverwaltung. Für die Erteilung der Zustimmung gelten § 18a Absatz 1 und § 18b Absatz 1 und 2 Satz 2 und 3 entsprechend.</w:t>
      </w:r>
    </w:p>
    <w:p>
      <w:r>
        <w:t xml:space="preserve">(3) Forschende dürfen Inhalte im Sinne des Absatzes 1 Satz 1 nur veröffentlichen, wenn dies für die Darstellung des Forschungsergebnisses unerlässlich ist. Eine Veröffentlichung bedarf der vorherigen Zustimmung der Landesjustizverwaltung. § 18b Absatz 2 Satz 2 und 3 gilt entsprechend.</w:t>
      </w:r>
    </w:p>
    <w:p>
      <w:r>
        <w:rPr>
          <w:color w:val="555555"/>
          <w:sz w:val="17"/>
        </w:rPr>
        <w:t xml:space="preserve">Zitiervorschlag: § 18c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