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18b BNotO — Form des Zugangs zu Forschungszwecken</w:t>
      </w:r>
    </w:p>
    <w:p>
      <w:r>
        <w:rPr>
          <w:color w:val="555555"/>
          <w:sz w:val="18"/>
        </w:rPr>
        <w:t xml:space="preserve">Bundesnotarordnung</w:t>
      </w:r>
    </w:p>
    <w:p>
      <w:r>
        <w:rPr>
          <w:color w:val="555555"/>
          <w:sz w:val="18"/>
        </w:rPr>
        <w:t xml:space="preserve">Stand: 01.08.2021 (konsolidierte Textfassung, kein amtliches Inkrafttretensdatum)</w:t>
      </w:r>
    </w:p>
    <w:p>
      <w:r>
        <w:t xml:space="preserve">(1) Die Landesjustizverwaltung hat den Zugang zu Inhalten notarieller Urkunden und Verzeichnisse zu Forschungszwecken anonymisiert zu gewähren, soweit nicht</w:t>
      </w:r>
    </w:p>
    <w:p>
      <w:pPr>
        <w:ind w:left="420"/>
      </w:pPr>
      <w:r>
        <w:t xml:space="preserve">1. der Forschungszweck nur mithilfe von Inhalten, die der Verschwiegenheitspflicht nach § 18 unterliegen, erreicht werden kann oder</w:t>
      </w:r>
    </w:p>
    <w:p>
      <w:pPr>
        <w:ind w:left="420"/>
      </w:pPr>
      <w:r>
        <w:t xml:space="preserve">2. die Anonymisierung einen unverhältnismäßigen Aufwand erfordern würde.</w:t>
      </w:r>
    </w:p>
    <w:p>
      <w:r>
        <w:t xml:space="preserve">(2) Kommt nach Absatz 1 ein nicht anonymisierter Zugang in Betracht, so darf die Landesjustizverwaltung einen solchen nur gewähren, soweit das Forschungsinteresse das Interesse der vom Inhalt der Urkunde oder des Verzeichnisses betroffenen natürlichen oder juristischen Personen an der Geheimhaltung überwiegt. Bestehen Anhaltspunkte dafür, dass das Interesse betroffener Personen an der Geheimhaltung das Forschungsinteresse überwiegen könnte, so ist den betroffenen Personen vor der Gewährung eines nicht anonymisierten Zugangs Gelegenheit zur Stellungnahme zu geben. Kann eine Stellungnahme nicht oder nur mit unverhältnismäßigen Schwierigkeiten erlangt werden, so kann ohne diese Stellungnahme entschieden werden.</w:t>
      </w:r>
    </w:p>
    <w:p>
      <w:r>
        <w:t xml:space="preserve">(3) Die verwahrende Stelle hat den von der Landesjustizverwaltung gewährten Zugang durch die Erteilung von Auskünften zu eröffnen, soweit hierdurch der Forschungszweck erreicht werden kann und die Erteilung keinen unverhältnismäßigen Aufwand erfordert. Anderenfalls hat sie Einsichtnahme in die Urkunden und Verzeichnisse zu ermöglichen und auf Verlangen Abschriften zur Verfügung zu stellen. Eine Herausgabe der Urkunden und Verzeichnisse ist nicht zulässig.</w:t>
      </w:r>
    </w:p>
    <w:p>
      <w:r>
        <w:t xml:space="preserve">(4) Ein nicht anonymisierter Zugang wird nur Forschenden eröffnet, die das Forschungsvorhaben als Amtsträger oder für den öffentlichen Dienst besonders Verpflichtete durchführen oder die zuvor entsprechend § 1 Absatz 2, 3 und 4 Nummer 2 des Verpflichtungsgesetzes zur Geheimhaltung verpflichtet wurden.</w:t>
      </w:r>
    </w:p>
    <w:p>
      <w:r>
        <w:rPr>
          <w:color w:val="555555"/>
          <w:sz w:val="17"/>
        </w:rPr>
        <w:t xml:space="preserve">Zitiervorschlag: § 18b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