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BNotO — Zugang zu Inhalten notarieller Urkunden und Verzeichnisse zu Forschungszwecken</w:t>
      </w:r>
    </w:p>
    <w:p>
      <w:r>
        <w:rPr>
          <w:color w:val="555555"/>
          <w:sz w:val="18"/>
        </w:rPr>
        <w:t xml:space="preserve">Bundesnotarordnung</w:t>
      </w:r>
    </w:p>
    <w:p>
      <w:r>
        <w:rPr>
          <w:color w:val="555555"/>
          <w:sz w:val="18"/>
        </w:rPr>
        <w:t xml:space="preserve">Stand: 01.08.2021 (konsolidierte Textfassung, kein amtliches Inkrafttretensdatum)</w:t>
      </w:r>
    </w:p>
    <w:p>
      <w:r>
        <w:t xml:space="preserve">(1) Personen, die historische oder sonstige wissenschaftliche Forschung betreiben, ist nach Maßgabe der nachfolgenden Vorschriften Zugang zu Inhalten notarieller Urkunden und Verzeichnisse zu gewähren, soweit</w:t>
      </w:r>
    </w:p>
    <w:p>
      <w:pPr>
        <w:ind w:left="420"/>
      </w:pPr>
      <w:r>
        <w:t xml:space="preserve">1. dies für die Durchführung eines wissenschaftlichen Forschungsvorhabens erforderlich ist und</w:t>
      </w:r>
    </w:p>
    <w:p>
      <w:pPr>
        <w:ind w:left="420"/>
      </w:pPr>
      <w:r>
        <w:t xml:space="preserve">2. seit dem Tag der Beurkundung oder seit dem Tag der Eintragung in das Verzeichnis mehr als 70 Jahre vergangen sind.</w:t>
      </w:r>
    </w:p>
    <w:p>
      <w:r>
        <w:t xml:space="preserve">(2) Der Zugang ist in Textform bei der verwahrenden Stelle oder bei der zuständigen Landesjustizverwaltung zu beantragen. In dem Antrag sind das Forschungsvorhaben und die Urkunden und Verzeichnisse, zu deren Inhalten Zugang begehrt wird, möglichst genau zu bezeichnen. Zudem ist in ihm darzulegen, warum der Zugang zur Durchführung des Forschungsvorhabens erforderlich ist. Wird ein nicht anonymisierter Zugang nach § 18b Absatz 1 Nummer 1 begehrt, ist zudem darzulegen, warum der Forschungszweck nur mithilfe von Inhalten erreicht werden kann, die der Verschwiegenheitspflicht unterliegen. Wird der Zugang von einer juristischen Person beantragt, so hat diese eine natürliche Person zu benennen, die das Forschungsvorhaben leitet.</w:t>
      </w:r>
    </w:p>
    <w:p>
      <w:r>
        <w:t xml:space="preserve">(3) Über den Antrag nach Absatz 2 entscheidet die zuständige Landesjustizverwaltung nach Anhörung der verwahrenden Stelle. Der Antrag kann abgelehnt werden, wenn die Ermittlung und Prüfung der notariellen Urkunden und Verzeichnisse einen unzumutbaren Aufwand erfordern würden.</w:t>
      </w:r>
    </w:p>
    <w:p>
      <w:r>
        <w:rPr>
          <w:color w:val="555555"/>
          <w:sz w:val="17"/>
        </w:rPr>
        <w:t xml:space="preserve">Zitiervorschlag: § 18a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