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BNotO — Gebühren</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ist verpflichtet, für seine Tätigkeit die gesetzlich vorgeschriebenen Gebühren zu erheben. Soweit nicht gesetzliche Vorschriften eine Gebührenbefreiung, eine Gebührenermäßigung oder eine Nichterhebung von Kosten wegen unrichtiger Sachbehandlung vorsehen, sind ein Gebührenerlass oder eine Gebührenermäßigung nur zulässig, soweit die Gebührenerhebung aufgrund außergewöhnlicher Umstände des Falls unbillig wäre und die Notarkammer dem Gebührenerlass oder der Gebührenermäßigung zugestimmt hat. In den Tätigkeitsbereichen der Notarkasse und der Ländernotarkasse treten diese an die Stelle der Notarkammern. Das Versprechen und Gewähren von Vorteilen im Zusammenhang mit einem Amtsgeschäft sowie jede Beteiligung Dritter an den Gebühren ist unzulässig.</w:t>
      </w:r>
    </w:p>
    <w:p>
      <w:r>
        <w:t xml:space="preserve">(2) Beteiligten, denen nach den Vorschriften der Zivilprozeßordnung die Prozeßkostenhilfe zu bewilligen wäre, hat der Notar seine Urkundstätigkeit in sinngemäßer Anwendung der Vorschriften der Zivilprozeßordnung vorläufig gebührenfrei oder gegen Zahlung der Gebühren in Monatsraten zu gewähren.</w:t>
      </w:r>
    </w:p>
    <w:p>
      <w:r>
        <w:rPr>
          <w:color w:val="555555"/>
          <w:sz w:val="17"/>
        </w:rPr>
        <w:t xml:space="preserve">Zitiervorschlag: § 17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