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117a BNotO — Notarkammern im Oberlandesgerichtsbezirk Frankfurt am Main und in den neuen Bundesländern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Bereich des Oberlandesgerichtsbezirks Frankfurt am Main können abweichend von § 65 Abs. 1 Satz 1 zwei Notarkammern bestehen.</w:t>
      </w:r>
    </w:p>
    <w:p>
      <w:r>
        <w:t xml:space="preserve">(2) Die am 8. September 1998 in den Ländern Brandenburg, Mecklenburg-Vorpommern, Sachsen, Sachsen-Anhalt und Thüringen bestehenden Notarkammern, deren Sitz sich abweichend von § 65 Abs. 2 nicht am Sitz des Oberlandesgerichts befindet, bleiben bestehen.</w:t>
      </w:r>
    </w:p>
    <w:p>
      <w:r>
        <w:rPr>
          <w:color w:val="555555"/>
          <w:sz w:val="17"/>
        </w:rPr>
        <w:t xml:space="preserve">Zitiervorschlag: § 117a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