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116 BNotO — Sondervorschriften für einzelne Länder</w:t>
      </w:r>
    </w:p>
    <w:p>
      <w:r>
        <w:rPr>
          <w:color w:val="555555"/>
          <w:sz w:val="18"/>
        </w:rPr>
        <w:t xml:space="preserve">Bundesnotarordnung</w:t>
      </w:r>
    </w:p>
    <w:p>
      <w:r>
        <w:rPr>
          <w:color w:val="555555"/>
          <w:sz w:val="18"/>
        </w:rPr>
        <w:t xml:space="preserve">Stand: 01.07.2026 (konsolidierte Textfassung, kein amtliches Inkrafttretensdatum)</w:t>
      </w:r>
    </w:p>
    <w:p>
      <w:r>
        <w:t xml:space="preserve">(1) Anwaltsnotare, die am 31. Dezember 2017 in Baden-Württemberg bestellt sind, bleiben im Amt. Sie können auf Antrag nach Anhörung der Notarkammer an ihrem bisherigen Amtssitz zum hauptberuflichen Notar bestellt werden. Die §§ 4a und 5 Absatz 4, § 6 Absatz 1 und 2 sowie die §§ 7, 13, 48b, 48c und 121 sind nicht anzuwenden. Mit der Bestellung zum hauptberuflichen Notar gilt die Zulassung zur Rechtsanwaltschaft als bestandskräftig widerrufen. Die Landesjustizverwaltung hat eine Bestellung nach Satz 4 der Rechtsanwaltskammer mitzuteilen.</w:t>
      </w:r>
    </w:p>
    <w:p>
      <w:r>
        <w:t xml:space="preserve">(2) In den Ländern Hamburg und Rheinland-Pfalz gilt § 3 Abs. 2 nicht.</w:t>
      </w:r>
    </w:p>
    <w:p>
      <w:r>
        <w:t xml:space="preserve">(3) In dem in Artikel 1 Abs. 1 des Staatsvertrages zwischen den Ländern Mecklenburg-Vorpommern und Niedersachsen über die Umgliederung der Gemeinden im ehemaligen Amt Neuhaus und anderer Gebiete nach Niedersachsen genannten Gebiet werden ausschließlich Anwaltsnotare bestellt.</w:t>
      </w:r>
    </w:p>
    <w:p>
      <w:r>
        <w:rPr>
          <w:color w:val="555555"/>
          <w:sz w:val="17"/>
        </w:rPr>
        <w:t xml:space="preserve">Zitiervorschlag: § 116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