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111d BNotO — Berufung</w:t>
      </w:r>
    </w:p>
    <w:p>
      <w:r>
        <w:rPr>
          <w:color w:val="555555"/>
          <w:sz w:val="18"/>
        </w:rPr>
        <w:t xml:space="preserve">Bundesnotarordnung</w:t>
      </w:r>
    </w:p>
    <w:p>
      <w:r>
        <w:rPr>
          <w:color w:val="555555"/>
          <w:sz w:val="18"/>
        </w:rPr>
        <w:t xml:space="preserve">Stand: 01.08.2021 (konsolidierte Textfassung, kein amtliches Inkrafttretensdatum)</w:t>
      </w:r>
    </w:p>
    <w:p>
      <w:r>
        <w:t xml:space="preserve">Gegen Endurteile einschließlich der Teilurteile, Grundurteile und Zwischenurteile über die Zulässigkeit steht den Beteiligten die Berufung zu, wenn sie vom Oberlandesgericht oder vom Bundesgerichtshof zugelassen wird. Für das Berufungsverfahren gilt der Zwölfte Abschnitt der Verwaltungsgerichtsordnung mit der Maßgabe, dass das Oberlandesgericht an die Stelle des Verwaltungsgerichts und der Bundesgerichtshof an die Stelle des Oberverwaltungsgerichts tritt.</w:t>
      </w:r>
    </w:p>
    <w:p>
      <w:r>
        <w:rPr>
          <w:color w:val="555555"/>
          <w:sz w:val="17"/>
        </w:rPr>
        <w:t xml:space="preserve">Zitiervorschlag: § 111d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