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111c BNotO — Beklagter</w:t>
      </w:r>
    </w:p>
    <w:p>
      <w:r>
        <w:rPr>
          <w:color w:val="555555"/>
          <w:sz w:val="18"/>
        </w:rPr>
        <w:t xml:space="preserve">Bundesnotarordnung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Die Klage ist gegen die Notarkammer oder Behörde zu richten,</w:t>
      </w:r>
    </w:p>
    <w:p>
      <w:pPr>
        <w:ind w:left="420"/>
      </w:pPr>
      <w:r>
        <w:t xml:space="preserve">1. die den Verwaltungsakt erlassen hat oder zu erlassen hätte; für hoheitliche Maßnahmen, die berufsrechtliche Rechte und Pflichten der Beteiligten beeinträchtigen oder verwirklichen, gilt dies sinngemäß;</w:t>
      </w:r>
    </w:p>
    <w:p>
      <w:pPr>
        <w:ind w:left="420"/>
      </w:pPr>
      <w:r>
        <w:t xml:space="preserve">2. deren Entschließung Gegenstand des Verfahrens ist.</w:t>
      </w:r>
    </w:p>
    <w:p>
      <w:r>
        <w:t xml:space="preserve">Klagen gegen Prüfungsentscheidungen und sonstige Maßnahmen des Prüfungsamtes sind gegen die Leitung des Prüfungsamtes zu richten.</w:t>
      </w:r>
    </w:p>
    <w:p>
      <w:r>
        <w:t xml:space="preserve">(2) In Verfahren zwischen einem Mitglied des Präsidiums oder Vorstandes und der Notarkammer wird die Notarkammer durch eines ihrer Mitglieder vertreten, das der Präsident des zuständigen Gerichts besonders bestellt.</w:t>
      </w:r>
    </w:p>
    <w:p>
      <w:r>
        <w:rPr>
          <w:color w:val="555555"/>
          <w:sz w:val="17"/>
        </w:rPr>
        <w:t xml:space="preserve">Zitiervorschlag: § 111c BNotO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https://recht.nulegal.eu/gesetze/BNotO/111c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