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BNotO — Amtsbezirk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Amtsbezirk des Notars ist der Oberlandesgerichtsbezirk, in dem er seinen Amtssitz hat.</w:t>
      </w:r>
    </w:p>
    <w:p>
      <w:r>
        <w:t xml:space="preserve">(2) Der Notar darf Urkundstätigkeiten außerhalb seines Amtsbezirks nur vornehmen, wenn Gefahr im Verzuge ist oder die Aufsichtsbehörde es genehmigt hat.</w:t>
      </w:r>
    </w:p>
    <w:p>
      <w:r>
        <w:t xml:space="preserve">(3) Urkundstätigkeiten, die nach den §§ 16a bis 16e und 40a des Beurkundungsgesetzes mittels Videokommunikation vorgenommen werden, gelten in entsprechender Anwendung der Voraussetzungen des § 10a Absatz 3 Satz 1 als im Amtsbezirk ausgeübt.</w:t>
      </w:r>
    </w:p>
    <w:p>
      <w:r>
        <w:t xml:space="preserve">(4) Ein Verstoß berührt die Gültigkeit der Urkundstätigkeit nicht, auch wenn der Notar die Urkundstätigkeit außerhalb des Landes vornimmt, in dem er zum Notar bestellt ist.</w:t>
      </w:r>
    </w:p>
    <w:p>
      <w:r>
        <w:rPr>
          <w:color w:val="555555"/>
          <w:sz w:val="17"/>
        </w:rPr>
        <w:t xml:space="preserve">Zitiervorschlag: § 11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