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BNotO — Bestellung der notariellen Beisitzer</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Beisitzer aus den Reihen der Notare werden von dem Bundesministerium der Justiz und für Verbraucherschutz berufen. Sie werden einer Vorschlagsliste entnommen, die das Präsidium der Bundesnotarkammer auf Grund von Vorschlägen der Notarkammern dem Bundesministerium der Justiz und für Verbraucherschutz einreicht. Das Bundesministerium der Justiz und für Verbraucherschutz bestimmt, welche Zahl von Beisitzern erforderlich ist; er hat vorher das Präsidium der Bundesnotarkammer zu hören. Die Vorschlagsliste muß mindestens die doppelte Zahl von Notaren enthalten und sich je zur Hälfte aus hauptberuflichen Notaren und Anwaltsnotaren zusammensetzen.</w:t>
      </w:r>
    </w:p>
    <w:p>
      <w:r>
        <w:t xml:space="preserve">(2) § 103 Abs. 2 bis 5 und § 104 Abs. 1 Satz 2 bis 4, Abs. 1a bis 3 gelten entsprechend mit der Maßgabe, dass das Bundesministerium der Justiz und für Verbraucherschutz an die Stelle der Landesjustizverwaltung tritt und vor der Entscheidung über die Amtsenthebung eines Beisitzers auch das Präsidium der Bundesnotarkammer zu hören ist.</w:t>
      </w:r>
    </w:p>
    <w:p>
      <w:r>
        <w:t xml:space="preserve">(3) Die Notare sind ehrenamtliche Richter. Sie haben in der Sitzung, zu der sie als Beisitzer herangezogen werden, die Stellung eines Berufsrichters.</w:t>
      </w:r>
    </w:p>
    <w:p>
      <w:r>
        <w:t xml:space="preserve">(4) Die Notare haben über Angelegenheiten, die ihnen bei ihrer Tätigkeit als Beisitzer bekannt werden, Verschwiegenheit zu bewahren. § 69a Absatz 1 Satz 1 und 2, Absatz 2 ist entsprechend anzuwenden. Die Genehmigung zur Aussage erteilt der Präsident des Bundesgerichtshofes.</w:t>
      </w:r>
    </w:p>
    <w:p>
      <w:r>
        <w:t xml:space="preserve">(5) Die zu Beisitzern berufenen Notare sind zu den einzelnen Sitzungen in der Reihenfolge einer Liste heranzuziehen, die der Vorsitzende des Senats nach Anhörung der beiden ältesten der zu Beisitzern berufenen Notare vor Beginn des Geschäftsjahres aufstellt.</w:t>
      </w:r>
    </w:p>
    <w:p>
      <w:r>
        <w:rPr>
          <w:color w:val="555555"/>
          <w:sz w:val="17"/>
        </w:rPr>
        <w:t xml:space="preserve">Zitiervorschlag: § 108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