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BNotO — Bestellung der richterlichen Mitglieder</w:t>
      </w:r>
    </w:p>
    <w:p>
      <w:r>
        <w:rPr>
          <w:color w:val="555555"/>
          <w:sz w:val="18"/>
        </w:rPr>
        <w:t xml:space="preserve">Bundesnotarordnung</w:t>
      </w:r>
    </w:p>
    <w:p>
      <w:r>
        <w:rPr>
          <w:color w:val="555555"/>
          <w:sz w:val="18"/>
        </w:rPr>
        <w:t xml:space="preserve">Stand: 01.08.2021 (konsolidierte Textfassung, kein amtliches Inkrafttretensdatum)</w:t>
      </w:r>
    </w:p>
    <w:p>
      <w:r>
        <w:t xml:space="preserve">Der Vorsitzende, der mindestens Vorsitzender Richter am Oberlandesgericht sein muss, seine Stellvertreter sowie die richterlichen Beisitzer und ihre Stellvertreter werden von dem Präsidium des Oberlandesgerichts aus der Zahl der ständigen Mitglieder des Oberlandesgerichts auf die Dauer von fünf Jahren bestellt. Im übrigen gelten die Vorschriften des Zweiten Titels des Gerichtsverfassungsgesetzes entsprechend.</w:t>
      </w:r>
    </w:p>
    <w:p>
      <w:r>
        <w:rPr>
          <w:color w:val="555555"/>
          <w:sz w:val="17"/>
        </w:rPr>
        <w:t xml:space="preserve">Zitiervorschlag: § 102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